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91" w:rsidRDefault="006B3191" w:rsidP="00765D36">
      <w:pPr>
        <w:spacing w:line="360" w:lineRule="auto"/>
        <w:rPr>
          <w:rFonts w:ascii="Arial" w:hAnsi="Arial"/>
          <w:b/>
          <w:bCs/>
          <w:sz w:val="28"/>
          <w:szCs w:val="28"/>
        </w:rPr>
      </w:pPr>
    </w:p>
    <w:p w:rsidR="00765D36" w:rsidRPr="00C73BDA" w:rsidRDefault="006E740A" w:rsidP="00765D36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C73BDA">
        <w:rPr>
          <w:rFonts w:ascii="Arial" w:hAnsi="Arial"/>
          <w:b/>
          <w:bCs/>
          <w:sz w:val="28"/>
          <w:szCs w:val="28"/>
        </w:rPr>
        <w:t xml:space="preserve">Guidance </w:t>
      </w:r>
      <w:r w:rsidR="003A4E3E" w:rsidRPr="00C73BDA">
        <w:rPr>
          <w:rFonts w:ascii="Arial" w:hAnsi="Arial"/>
          <w:b/>
          <w:bCs/>
          <w:sz w:val="28"/>
          <w:szCs w:val="28"/>
        </w:rPr>
        <w:t xml:space="preserve">on </w:t>
      </w:r>
      <w:r w:rsidR="00994A61" w:rsidRPr="00C73BDA">
        <w:rPr>
          <w:rFonts w:ascii="Arial" w:hAnsi="Arial"/>
          <w:b/>
          <w:bCs/>
          <w:sz w:val="28"/>
          <w:szCs w:val="28"/>
        </w:rPr>
        <w:t xml:space="preserve">the wording in </w:t>
      </w:r>
      <w:r w:rsidR="003A4E3E" w:rsidRPr="00C73BDA">
        <w:rPr>
          <w:rFonts w:ascii="Arial" w:hAnsi="Arial"/>
          <w:b/>
          <w:bCs/>
          <w:sz w:val="28"/>
          <w:szCs w:val="28"/>
        </w:rPr>
        <w:t>Powers of Attorney</w:t>
      </w:r>
      <w:r w:rsidR="00994A61" w:rsidRPr="00C73BDA">
        <w:rPr>
          <w:rFonts w:ascii="Arial" w:hAnsi="Arial"/>
          <w:b/>
          <w:bCs/>
          <w:sz w:val="28"/>
          <w:szCs w:val="28"/>
        </w:rPr>
        <w:t xml:space="preserve"> </w:t>
      </w:r>
    </w:p>
    <w:p w:rsidR="006E740A" w:rsidRPr="00C73BDA" w:rsidRDefault="00765D36" w:rsidP="00765D36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C73BDA">
        <w:rPr>
          <w:rFonts w:ascii="Arial" w:hAnsi="Arial"/>
          <w:b/>
          <w:bCs/>
          <w:sz w:val="28"/>
          <w:szCs w:val="28"/>
        </w:rPr>
        <w:t>H</w:t>
      </w:r>
      <w:r w:rsidR="00994A61" w:rsidRPr="00C73BDA">
        <w:rPr>
          <w:rFonts w:ascii="Arial" w:hAnsi="Arial"/>
          <w:b/>
          <w:bCs/>
          <w:sz w:val="28"/>
          <w:szCs w:val="28"/>
        </w:rPr>
        <w:t>ow the Public</w:t>
      </w:r>
      <w:r w:rsidR="004475F9" w:rsidRPr="00C73BDA">
        <w:rPr>
          <w:rFonts w:ascii="Arial" w:hAnsi="Arial"/>
          <w:b/>
          <w:bCs/>
          <w:sz w:val="28"/>
          <w:szCs w:val="28"/>
        </w:rPr>
        <w:t xml:space="preserve"> Guardian will interpret words and</w:t>
      </w:r>
      <w:r w:rsidR="00994A61" w:rsidRPr="00C73BDA">
        <w:rPr>
          <w:rFonts w:ascii="Arial" w:hAnsi="Arial"/>
          <w:b/>
          <w:bCs/>
          <w:sz w:val="28"/>
          <w:szCs w:val="28"/>
        </w:rPr>
        <w:t xml:space="preserve"> phrases </w:t>
      </w:r>
      <w:r w:rsidR="003A4E3E" w:rsidRPr="00C73BDA">
        <w:rPr>
          <w:rFonts w:ascii="Arial" w:hAnsi="Arial"/>
          <w:b/>
          <w:bCs/>
          <w:sz w:val="28"/>
          <w:szCs w:val="28"/>
        </w:rPr>
        <w:t xml:space="preserve"> </w:t>
      </w:r>
    </w:p>
    <w:p w:rsidR="006E740A" w:rsidRPr="004773AA" w:rsidRDefault="006E740A" w:rsidP="00547A26">
      <w:pPr>
        <w:spacing w:line="360" w:lineRule="auto"/>
        <w:rPr>
          <w:rFonts w:ascii="Arial" w:hAnsi="Arial"/>
        </w:rPr>
      </w:pPr>
    </w:p>
    <w:p w:rsidR="00E64F87" w:rsidRPr="004773AA" w:rsidRDefault="00E64F87" w:rsidP="005F40CC">
      <w:pPr>
        <w:spacing w:line="360" w:lineRule="auto"/>
        <w:rPr>
          <w:rFonts w:ascii="Arial" w:hAnsi="Arial"/>
        </w:rPr>
      </w:pPr>
      <w:r w:rsidRPr="004773AA">
        <w:rPr>
          <w:rFonts w:ascii="Arial" w:hAnsi="Arial"/>
        </w:rPr>
        <w:t xml:space="preserve">The </w:t>
      </w:r>
      <w:r w:rsidRPr="004773AA">
        <w:rPr>
          <w:rStyle w:val="Hyperlink"/>
          <w:rFonts w:ascii="Arial" w:hAnsi="Arial"/>
        </w:rPr>
        <w:t>Adults with Incapacity (Scotland) Act 2000</w:t>
      </w:r>
      <w:r w:rsidRPr="004773AA">
        <w:rPr>
          <w:rFonts w:ascii="Arial" w:hAnsi="Arial"/>
        </w:rPr>
        <w:t> </w:t>
      </w:r>
      <w:r w:rsidR="006E740A" w:rsidRPr="004773AA">
        <w:rPr>
          <w:rFonts w:ascii="Arial" w:hAnsi="Arial"/>
        </w:rPr>
        <w:t xml:space="preserve">(the 2000 Act) </w:t>
      </w:r>
      <w:r w:rsidRPr="004773AA">
        <w:rPr>
          <w:rFonts w:ascii="Arial" w:hAnsi="Arial"/>
        </w:rPr>
        <w:t xml:space="preserve">creates the Office of the Public Guardian in Scotland, and gives the Public Guardian </w:t>
      </w:r>
      <w:r w:rsidR="005F40CC" w:rsidRPr="004773AA">
        <w:rPr>
          <w:rFonts w:ascii="Arial" w:hAnsi="Arial"/>
        </w:rPr>
        <w:t>various functions, including to regis</w:t>
      </w:r>
      <w:r w:rsidRPr="004773AA">
        <w:rPr>
          <w:rFonts w:ascii="Arial" w:hAnsi="Arial"/>
        </w:rPr>
        <w:t xml:space="preserve">ter powers of attorney that are to </w:t>
      </w:r>
      <w:r w:rsidR="001A0270" w:rsidRPr="004773AA">
        <w:rPr>
          <w:rFonts w:ascii="Arial" w:hAnsi="Arial"/>
        </w:rPr>
        <w:t xml:space="preserve">come into effect </w:t>
      </w:r>
      <w:r w:rsidRPr="004773AA">
        <w:rPr>
          <w:rFonts w:ascii="Arial" w:hAnsi="Arial"/>
        </w:rPr>
        <w:t>or continue in the event of incapacity.</w:t>
      </w:r>
    </w:p>
    <w:p w:rsidR="00E64F87" w:rsidRPr="004773AA" w:rsidRDefault="00E64F87" w:rsidP="00547A26">
      <w:pPr>
        <w:spacing w:line="360" w:lineRule="auto"/>
        <w:rPr>
          <w:rFonts w:ascii="Arial" w:hAnsi="Arial"/>
        </w:rPr>
      </w:pPr>
    </w:p>
    <w:p w:rsidR="004773AA" w:rsidRDefault="003A4E3E" w:rsidP="00547A26">
      <w:pPr>
        <w:spacing w:line="360" w:lineRule="auto"/>
        <w:rPr>
          <w:rFonts w:ascii="Arial" w:hAnsi="Arial"/>
        </w:rPr>
      </w:pPr>
      <w:r w:rsidRPr="004773AA">
        <w:rPr>
          <w:rFonts w:ascii="Arial" w:hAnsi="Arial"/>
        </w:rPr>
        <w:t xml:space="preserve">The </w:t>
      </w:r>
      <w:r w:rsidR="00E64F87" w:rsidRPr="004773AA">
        <w:rPr>
          <w:rFonts w:ascii="Arial" w:hAnsi="Arial"/>
        </w:rPr>
        <w:t>Public Guardian</w:t>
      </w:r>
      <w:r w:rsidRPr="004773AA">
        <w:rPr>
          <w:rFonts w:ascii="Arial" w:hAnsi="Arial"/>
        </w:rPr>
        <w:t xml:space="preserve"> is aware of a number of instances where </w:t>
      </w:r>
      <w:r w:rsidR="00E64F87" w:rsidRPr="004773AA">
        <w:rPr>
          <w:rFonts w:ascii="Arial" w:hAnsi="Arial"/>
        </w:rPr>
        <w:t xml:space="preserve">uncertainty </w:t>
      </w:r>
      <w:r w:rsidRPr="004773AA">
        <w:rPr>
          <w:rFonts w:ascii="Arial" w:hAnsi="Arial"/>
        </w:rPr>
        <w:t xml:space="preserve">has been </w:t>
      </w:r>
      <w:r w:rsidR="00FC5713" w:rsidRPr="004773AA">
        <w:rPr>
          <w:rFonts w:ascii="Arial" w:hAnsi="Arial"/>
        </w:rPr>
        <w:t xml:space="preserve">caused by the </w:t>
      </w:r>
      <w:r w:rsidRPr="004773AA">
        <w:rPr>
          <w:rFonts w:ascii="Arial" w:hAnsi="Arial"/>
        </w:rPr>
        <w:t xml:space="preserve">way in which </w:t>
      </w:r>
      <w:r w:rsidR="00FC5713" w:rsidRPr="004773AA">
        <w:rPr>
          <w:rFonts w:ascii="Arial" w:hAnsi="Arial"/>
        </w:rPr>
        <w:t>certain powers of attorney</w:t>
      </w:r>
      <w:r w:rsidRPr="004773AA">
        <w:rPr>
          <w:rFonts w:ascii="Arial" w:hAnsi="Arial"/>
        </w:rPr>
        <w:t xml:space="preserve"> have been drafted</w:t>
      </w:r>
      <w:r w:rsidR="00016D7C" w:rsidRPr="004773AA">
        <w:rPr>
          <w:rFonts w:ascii="Arial" w:hAnsi="Arial"/>
        </w:rPr>
        <w:t>, in particular where there is more than one attorney appointed</w:t>
      </w:r>
      <w:r w:rsidR="00236B46" w:rsidRPr="004773AA">
        <w:rPr>
          <w:rFonts w:ascii="Arial" w:hAnsi="Arial"/>
        </w:rPr>
        <w:t xml:space="preserve"> and what is to happen if an attorney </w:t>
      </w:r>
      <w:r w:rsidR="006F2EC1" w:rsidRPr="004773AA">
        <w:rPr>
          <w:rFonts w:ascii="Arial" w:hAnsi="Arial"/>
        </w:rPr>
        <w:t xml:space="preserve">resigns, </w:t>
      </w:r>
      <w:r w:rsidR="00236B46" w:rsidRPr="004773AA">
        <w:rPr>
          <w:rFonts w:ascii="Arial" w:hAnsi="Arial"/>
        </w:rPr>
        <w:t>loses capacity or dies</w:t>
      </w:r>
      <w:r w:rsidR="00F77C67" w:rsidRPr="004773AA">
        <w:rPr>
          <w:rFonts w:ascii="Arial" w:hAnsi="Arial"/>
        </w:rPr>
        <w:t xml:space="preserve">. </w:t>
      </w:r>
      <w:r w:rsidR="006F2EC1" w:rsidRPr="004773AA">
        <w:rPr>
          <w:rFonts w:ascii="Arial" w:hAnsi="Arial"/>
        </w:rPr>
        <w:t xml:space="preserve"> </w:t>
      </w:r>
    </w:p>
    <w:p w:rsidR="004773AA" w:rsidRDefault="004773AA" w:rsidP="00547A26">
      <w:pPr>
        <w:spacing w:line="360" w:lineRule="auto"/>
        <w:rPr>
          <w:rFonts w:ascii="Arial" w:hAnsi="Arial"/>
        </w:rPr>
      </w:pPr>
    </w:p>
    <w:p w:rsidR="00A068E7" w:rsidRPr="004773AA" w:rsidRDefault="006F2EC1" w:rsidP="00547A26">
      <w:pPr>
        <w:spacing w:line="360" w:lineRule="auto"/>
        <w:rPr>
          <w:rFonts w:ascii="Arial" w:hAnsi="Arial"/>
        </w:rPr>
      </w:pPr>
      <w:r w:rsidRPr="004773AA">
        <w:rPr>
          <w:rFonts w:ascii="Arial" w:hAnsi="Arial"/>
        </w:rPr>
        <w:t>Questions</w:t>
      </w:r>
      <w:r w:rsidR="003A4E3E" w:rsidRPr="004773AA">
        <w:rPr>
          <w:rFonts w:ascii="Arial" w:hAnsi="Arial"/>
        </w:rPr>
        <w:t xml:space="preserve"> have </w:t>
      </w:r>
      <w:r w:rsidRPr="004773AA">
        <w:rPr>
          <w:rFonts w:ascii="Arial" w:hAnsi="Arial"/>
        </w:rPr>
        <w:t>arisen</w:t>
      </w:r>
      <w:r w:rsidR="003A4E3E" w:rsidRPr="004773AA">
        <w:rPr>
          <w:rFonts w:ascii="Arial" w:hAnsi="Arial"/>
        </w:rPr>
        <w:t xml:space="preserve"> as to the operation of s</w:t>
      </w:r>
      <w:r w:rsidR="00016D7C" w:rsidRPr="004773AA">
        <w:rPr>
          <w:rFonts w:ascii="Arial" w:hAnsi="Arial"/>
        </w:rPr>
        <w:t>uch</w:t>
      </w:r>
      <w:r w:rsidR="003A4E3E" w:rsidRPr="004773AA">
        <w:rPr>
          <w:rFonts w:ascii="Arial" w:hAnsi="Arial"/>
        </w:rPr>
        <w:t xml:space="preserve"> powers of attorney</w:t>
      </w:r>
      <w:r w:rsidRPr="004773AA">
        <w:rPr>
          <w:rFonts w:ascii="Arial" w:hAnsi="Arial"/>
        </w:rPr>
        <w:t>,</w:t>
      </w:r>
      <w:r w:rsidR="003A4E3E" w:rsidRPr="004773AA">
        <w:rPr>
          <w:rFonts w:ascii="Arial" w:hAnsi="Arial"/>
        </w:rPr>
        <w:t xml:space="preserve"> and also </w:t>
      </w:r>
      <w:r w:rsidR="00E64F87" w:rsidRPr="004773AA">
        <w:rPr>
          <w:rFonts w:ascii="Arial" w:hAnsi="Arial"/>
        </w:rPr>
        <w:t xml:space="preserve">in which circumstances </w:t>
      </w:r>
      <w:r w:rsidR="00054606" w:rsidRPr="004773AA">
        <w:rPr>
          <w:rFonts w:ascii="Arial" w:hAnsi="Arial"/>
        </w:rPr>
        <w:t>they</w:t>
      </w:r>
      <w:r w:rsidR="00E64F87" w:rsidRPr="004773AA">
        <w:rPr>
          <w:rFonts w:ascii="Arial" w:hAnsi="Arial"/>
        </w:rPr>
        <w:t xml:space="preserve"> come to an end</w:t>
      </w:r>
      <w:r w:rsidR="00016D7C" w:rsidRPr="004773AA">
        <w:rPr>
          <w:rFonts w:ascii="Arial" w:hAnsi="Arial"/>
        </w:rPr>
        <w:t xml:space="preserve">. </w:t>
      </w:r>
      <w:r w:rsidR="00303304" w:rsidRPr="004773AA">
        <w:rPr>
          <w:rFonts w:ascii="Arial" w:hAnsi="Arial"/>
        </w:rPr>
        <w:t>This is a particular issue whe</w:t>
      </w:r>
      <w:r w:rsidR="00016D7C" w:rsidRPr="004773AA">
        <w:rPr>
          <w:rFonts w:ascii="Arial" w:hAnsi="Arial"/>
        </w:rPr>
        <w:t>re</w:t>
      </w:r>
      <w:r w:rsidR="00303304" w:rsidRPr="004773AA">
        <w:rPr>
          <w:rFonts w:ascii="Arial" w:hAnsi="Arial"/>
        </w:rPr>
        <w:t xml:space="preserve"> the power of attorney </w:t>
      </w:r>
      <w:r w:rsidR="00016D7C" w:rsidRPr="004773AA">
        <w:rPr>
          <w:rFonts w:ascii="Arial" w:hAnsi="Arial"/>
        </w:rPr>
        <w:t>becomes operational a</w:t>
      </w:r>
      <w:r w:rsidR="00303304" w:rsidRPr="004773AA">
        <w:rPr>
          <w:rFonts w:ascii="Arial" w:hAnsi="Arial"/>
        </w:rPr>
        <w:t xml:space="preserve">nd the </w:t>
      </w:r>
      <w:r w:rsidR="00016D7C" w:rsidRPr="004773AA">
        <w:rPr>
          <w:rFonts w:ascii="Arial" w:hAnsi="Arial"/>
        </w:rPr>
        <w:t>granter</w:t>
      </w:r>
      <w:r w:rsidR="00303304" w:rsidRPr="004773AA">
        <w:rPr>
          <w:rFonts w:ascii="Arial" w:hAnsi="Arial"/>
        </w:rPr>
        <w:t xml:space="preserve"> no longer has capacity, meaning it cannot be </w:t>
      </w:r>
      <w:r w:rsidR="00016D7C" w:rsidRPr="004773AA">
        <w:rPr>
          <w:rFonts w:ascii="Arial" w:hAnsi="Arial"/>
        </w:rPr>
        <w:t xml:space="preserve">amended to accurately reflect the granter’s </w:t>
      </w:r>
      <w:r w:rsidRPr="004773AA">
        <w:rPr>
          <w:rFonts w:ascii="Arial" w:hAnsi="Arial"/>
        </w:rPr>
        <w:t>intention.</w:t>
      </w:r>
      <w:r w:rsidR="00016D7C" w:rsidRPr="004773AA">
        <w:rPr>
          <w:rFonts w:ascii="Arial" w:hAnsi="Arial"/>
        </w:rPr>
        <w:t xml:space="preserve"> </w:t>
      </w:r>
    </w:p>
    <w:p w:rsidR="00A068E7" w:rsidRPr="004773AA" w:rsidRDefault="00A068E7" w:rsidP="00547A26">
      <w:pPr>
        <w:spacing w:line="360" w:lineRule="auto"/>
        <w:rPr>
          <w:rFonts w:ascii="Arial" w:hAnsi="Arial"/>
        </w:rPr>
      </w:pPr>
    </w:p>
    <w:p w:rsidR="00E64F87" w:rsidRPr="004773AA" w:rsidRDefault="004773AA" w:rsidP="00547A2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light of this, and the aforementioned</w:t>
      </w:r>
      <w:r w:rsidR="00E64F87" w:rsidRPr="004773AA">
        <w:rPr>
          <w:rFonts w:ascii="Arial" w:hAnsi="Arial"/>
        </w:rPr>
        <w:t xml:space="preserve"> </w:t>
      </w:r>
      <w:r w:rsidR="0005482E" w:rsidRPr="004773AA">
        <w:rPr>
          <w:rFonts w:ascii="Arial" w:hAnsi="Arial"/>
        </w:rPr>
        <w:t xml:space="preserve">statutory </w:t>
      </w:r>
      <w:r w:rsidR="00A068E7" w:rsidRPr="004773AA">
        <w:rPr>
          <w:rFonts w:ascii="Arial" w:hAnsi="Arial"/>
        </w:rPr>
        <w:t>function</w:t>
      </w:r>
      <w:r w:rsidR="00E64F87" w:rsidRPr="004773AA">
        <w:rPr>
          <w:rFonts w:ascii="Arial" w:hAnsi="Arial"/>
        </w:rPr>
        <w:t xml:space="preserve">, </w:t>
      </w:r>
      <w:r w:rsidR="005F40CC" w:rsidRPr="004773AA">
        <w:rPr>
          <w:rFonts w:ascii="Arial" w:hAnsi="Arial"/>
        </w:rPr>
        <w:t xml:space="preserve">the following guidance outlines </w:t>
      </w:r>
      <w:r w:rsidR="003269F4" w:rsidRPr="004773AA">
        <w:rPr>
          <w:rFonts w:ascii="Arial" w:hAnsi="Arial"/>
        </w:rPr>
        <w:t xml:space="preserve">how the </w:t>
      </w:r>
      <w:r w:rsidR="003A4E3E" w:rsidRPr="004773AA">
        <w:rPr>
          <w:rFonts w:ascii="Arial" w:hAnsi="Arial"/>
        </w:rPr>
        <w:t>O</w:t>
      </w:r>
      <w:r w:rsidR="006F2EC1" w:rsidRPr="004773AA">
        <w:rPr>
          <w:rFonts w:ascii="Arial" w:hAnsi="Arial"/>
        </w:rPr>
        <w:t xml:space="preserve">ffice of the Public </w:t>
      </w:r>
      <w:r w:rsidR="003A4E3E" w:rsidRPr="004773AA">
        <w:rPr>
          <w:rFonts w:ascii="Arial" w:hAnsi="Arial"/>
        </w:rPr>
        <w:t>G</w:t>
      </w:r>
      <w:r w:rsidR="006F2EC1" w:rsidRPr="004773AA">
        <w:rPr>
          <w:rFonts w:ascii="Arial" w:hAnsi="Arial"/>
        </w:rPr>
        <w:t>uardian (OPG)</w:t>
      </w:r>
      <w:r w:rsidR="003A4E3E" w:rsidRPr="004773AA">
        <w:rPr>
          <w:rFonts w:ascii="Arial" w:hAnsi="Arial"/>
        </w:rPr>
        <w:t xml:space="preserve"> </w:t>
      </w:r>
      <w:r w:rsidR="003269F4" w:rsidRPr="004773AA">
        <w:rPr>
          <w:rFonts w:ascii="Arial" w:hAnsi="Arial"/>
        </w:rPr>
        <w:t xml:space="preserve">will treat such powers of attorney. </w:t>
      </w:r>
    </w:p>
    <w:p w:rsidR="003269F4" w:rsidRPr="004773AA" w:rsidRDefault="003269F4" w:rsidP="004773AA">
      <w:pPr>
        <w:spacing w:line="360" w:lineRule="auto"/>
        <w:rPr>
          <w:rFonts w:ascii="Arial" w:hAnsi="Arial"/>
        </w:rPr>
      </w:pPr>
    </w:p>
    <w:p w:rsidR="003269F4" w:rsidRPr="00C73BDA" w:rsidRDefault="003269F4" w:rsidP="004773AA">
      <w:pPr>
        <w:pStyle w:val="ListParagraph"/>
        <w:numPr>
          <w:ilvl w:val="0"/>
          <w:numId w:val="9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 w:rsidRPr="004773AA">
        <w:rPr>
          <w:rFonts w:ascii="Arial" w:hAnsi="Arial"/>
          <w:b/>
          <w:bCs/>
          <w:sz w:val="22"/>
          <w:szCs w:val="22"/>
        </w:rPr>
        <w:t xml:space="preserve">Powers of attorney </w:t>
      </w:r>
      <w:r w:rsidR="00303304" w:rsidRPr="004773AA">
        <w:rPr>
          <w:rFonts w:ascii="Arial" w:hAnsi="Arial"/>
          <w:b/>
          <w:bCs/>
          <w:sz w:val="22"/>
          <w:szCs w:val="22"/>
        </w:rPr>
        <w:t>which</w:t>
      </w:r>
      <w:r w:rsidRPr="004773AA">
        <w:rPr>
          <w:rFonts w:ascii="Arial" w:hAnsi="Arial"/>
          <w:b/>
          <w:bCs/>
          <w:sz w:val="22"/>
          <w:szCs w:val="22"/>
        </w:rPr>
        <w:t xml:space="preserve"> are silent as to whether attorneys are appointed on a joint or joint and several basis</w:t>
      </w:r>
    </w:p>
    <w:p w:rsidR="005940E3" w:rsidRPr="004773AA" w:rsidRDefault="003269F4" w:rsidP="004773AA">
      <w:pPr>
        <w:spacing w:line="360" w:lineRule="auto"/>
        <w:rPr>
          <w:rFonts w:ascii="Arial" w:hAnsi="Arial"/>
        </w:rPr>
      </w:pPr>
      <w:r w:rsidRPr="004773AA">
        <w:rPr>
          <w:rFonts w:ascii="Arial" w:hAnsi="Arial"/>
        </w:rPr>
        <w:t xml:space="preserve">The Public Guardian recommends that all powers of attorney </w:t>
      </w:r>
      <w:r w:rsidR="00957481" w:rsidRPr="00CF6A9D">
        <w:rPr>
          <w:rFonts w:ascii="Arial" w:hAnsi="Arial"/>
          <w:bCs/>
        </w:rPr>
        <w:t xml:space="preserve">expressly </w:t>
      </w:r>
      <w:r w:rsidRPr="00CF6A9D">
        <w:rPr>
          <w:rFonts w:ascii="Arial" w:hAnsi="Arial"/>
          <w:bCs/>
        </w:rPr>
        <w:t>specify</w:t>
      </w:r>
      <w:r w:rsidRPr="004773AA">
        <w:rPr>
          <w:rFonts w:ascii="Arial" w:hAnsi="Arial"/>
        </w:rPr>
        <w:t xml:space="preserve"> </w:t>
      </w:r>
      <w:r w:rsidR="003A4E3E" w:rsidRPr="004773AA">
        <w:rPr>
          <w:rFonts w:ascii="Arial" w:hAnsi="Arial"/>
        </w:rPr>
        <w:t>if</w:t>
      </w:r>
      <w:r w:rsidRPr="004773AA">
        <w:rPr>
          <w:rFonts w:ascii="Arial" w:hAnsi="Arial"/>
        </w:rPr>
        <w:t xml:space="preserve"> attorneys are appointed on a joint or joint </w:t>
      </w:r>
      <w:r w:rsidR="003A4E3E" w:rsidRPr="004773AA">
        <w:rPr>
          <w:rFonts w:ascii="Arial" w:hAnsi="Arial"/>
        </w:rPr>
        <w:t>and</w:t>
      </w:r>
      <w:r w:rsidRPr="004773AA">
        <w:rPr>
          <w:rFonts w:ascii="Arial" w:hAnsi="Arial"/>
        </w:rPr>
        <w:t xml:space="preserve"> several basis</w:t>
      </w:r>
      <w:r w:rsidR="00765D36" w:rsidRPr="004773AA">
        <w:rPr>
          <w:rFonts w:ascii="Arial" w:hAnsi="Arial"/>
        </w:rPr>
        <w:t xml:space="preserve">. </w:t>
      </w:r>
      <w:r w:rsidRPr="004773AA">
        <w:rPr>
          <w:rFonts w:ascii="Arial" w:hAnsi="Arial"/>
        </w:rPr>
        <w:t>Where powers of attorney do not specify this (for example, appointing “</w:t>
      </w:r>
      <w:r w:rsidRPr="004773AA">
        <w:rPr>
          <w:rFonts w:ascii="Arial" w:hAnsi="Arial"/>
          <w:i/>
          <w:iCs/>
        </w:rPr>
        <w:t>Person A and Person B</w:t>
      </w:r>
      <w:r w:rsidR="005940E3" w:rsidRPr="004773AA">
        <w:rPr>
          <w:rFonts w:ascii="Arial" w:hAnsi="Arial"/>
          <w:i/>
          <w:iCs/>
        </w:rPr>
        <w:t xml:space="preserve"> to be my continuing attorneys in terms of section 15 of the Adults with Incapacity (Scotland) Act 2000</w:t>
      </w:r>
      <w:r w:rsidRPr="004773AA">
        <w:rPr>
          <w:rFonts w:ascii="Arial" w:hAnsi="Arial"/>
        </w:rPr>
        <w:t>”)</w:t>
      </w:r>
      <w:r w:rsidR="00C009D6" w:rsidRPr="004773AA">
        <w:rPr>
          <w:rFonts w:ascii="Arial" w:hAnsi="Arial"/>
        </w:rPr>
        <w:t>,</w:t>
      </w:r>
      <w:r w:rsidRPr="004773AA">
        <w:rPr>
          <w:rFonts w:ascii="Arial" w:hAnsi="Arial"/>
        </w:rPr>
        <w:t xml:space="preserve"> </w:t>
      </w:r>
      <w:r w:rsidR="005940E3" w:rsidRPr="004773AA">
        <w:rPr>
          <w:rFonts w:ascii="Arial" w:hAnsi="Arial"/>
        </w:rPr>
        <w:t xml:space="preserve">the Public Guardian will interpret the appointment as being </w:t>
      </w:r>
      <w:r w:rsidR="005940E3" w:rsidRPr="00CF6A9D">
        <w:rPr>
          <w:rFonts w:ascii="Arial" w:hAnsi="Arial"/>
        </w:rPr>
        <w:t xml:space="preserve">a </w:t>
      </w:r>
      <w:r w:rsidR="005940E3" w:rsidRPr="00CF6A9D">
        <w:rPr>
          <w:rFonts w:ascii="Arial" w:hAnsi="Arial"/>
          <w:bCs/>
        </w:rPr>
        <w:t>joint appointment</w:t>
      </w:r>
      <w:r w:rsidR="00303304" w:rsidRPr="004773AA">
        <w:rPr>
          <w:rFonts w:ascii="Arial" w:hAnsi="Arial"/>
        </w:rPr>
        <w:t xml:space="preserve"> and not as a </w:t>
      </w:r>
      <w:r w:rsidR="005940E3" w:rsidRPr="004773AA">
        <w:rPr>
          <w:rFonts w:ascii="Arial" w:hAnsi="Arial"/>
        </w:rPr>
        <w:t>joint and several</w:t>
      </w:r>
      <w:r w:rsidR="00303304" w:rsidRPr="004773AA">
        <w:rPr>
          <w:rFonts w:ascii="Arial" w:hAnsi="Arial"/>
        </w:rPr>
        <w:t xml:space="preserve"> appointment</w:t>
      </w:r>
      <w:r w:rsidR="00A068E7" w:rsidRPr="004773AA">
        <w:rPr>
          <w:rFonts w:ascii="Arial" w:hAnsi="Arial"/>
        </w:rPr>
        <w:t>.</w:t>
      </w:r>
    </w:p>
    <w:p w:rsidR="003F74C9" w:rsidRDefault="003F74C9" w:rsidP="004773AA">
      <w:pPr>
        <w:spacing w:line="360" w:lineRule="auto"/>
        <w:rPr>
          <w:rFonts w:ascii="Arial" w:hAnsi="Arial"/>
        </w:rPr>
      </w:pPr>
    </w:p>
    <w:p w:rsidR="006B3191" w:rsidRPr="004773AA" w:rsidRDefault="006B3191" w:rsidP="004773AA">
      <w:pPr>
        <w:spacing w:line="360" w:lineRule="auto"/>
        <w:rPr>
          <w:rFonts w:ascii="Arial" w:hAnsi="Arial"/>
        </w:rPr>
      </w:pPr>
    </w:p>
    <w:p w:rsidR="003F74C9" w:rsidRPr="00C73BDA" w:rsidRDefault="003F74C9" w:rsidP="004773AA">
      <w:pPr>
        <w:pStyle w:val="ListParagraph"/>
        <w:numPr>
          <w:ilvl w:val="0"/>
          <w:numId w:val="9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 w:rsidRPr="004773AA">
        <w:rPr>
          <w:rFonts w:ascii="Arial" w:hAnsi="Arial"/>
          <w:b/>
          <w:bCs/>
          <w:sz w:val="22"/>
          <w:szCs w:val="22"/>
        </w:rPr>
        <w:t>The effect of death or incapacity on joint appointments</w:t>
      </w:r>
    </w:p>
    <w:p w:rsidR="00CF6A9D" w:rsidRDefault="0088766E" w:rsidP="004773AA">
      <w:pPr>
        <w:spacing w:line="360" w:lineRule="auto"/>
        <w:rPr>
          <w:rFonts w:ascii="Arial" w:hAnsi="Arial"/>
        </w:rPr>
      </w:pPr>
      <w:r w:rsidRPr="004773AA">
        <w:rPr>
          <w:rFonts w:ascii="Arial" w:hAnsi="Arial"/>
        </w:rPr>
        <w:t xml:space="preserve">Where attorneys are appointed jointly (either </w:t>
      </w:r>
      <w:r w:rsidR="00D02EA5" w:rsidRPr="004773AA">
        <w:rPr>
          <w:rFonts w:ascii="Arial" w:hAnsi="Arial"/>
        </w:rPr>
        <w:t>expressly</w:t>
      </w:r>
      <w:r w:rsidRPr="004773AA">
        <w:rPr>
          <w:rFonts w:ascii="Arial" w:hAnsi="Arial"/>
        </w:rPr>
        <w:t>, or as a result of a power of attorney being silent as to the nature of an appointment as</w:t>
      </w:r>
      <w:r w:rsidR="00016D7C" w:rsidRPr="004773AA">
        <w:rPr>
          <w:rFonts w:ascii="Arial" w:hAnsi="Arial"/>
        </w:rPr>
        <w:t xml:space="preserve"> described</w:t>
      </w:r>
      <w:r w:rsidRPr="004773AA">
        <w:rPr>
          <w:rFonts w:ascii="Arial" w:hAnsi="Arial"/>
        </w:rPr>
        <w:t xml:space="preserve"> above)</w:t>
      </w:r>
      <w:r w:rsidR="00FA79B9" w:rsidRPr="004773AA">
        <w:rPr>
          <w:rFonts w:ascii="Arial" w:hAnsi="Arial"/>
        </w:rPr>
        <w:t>,</w:t>
      </w:r>
      <w:r w:rsidRPr="004773AA">
        <w:rPr>
          <w:rFonts w:ascii="Arial" w:hAnsi="Arial"/>
        </w:rPr>
        <w:t xml:space="preserve"> the Public Guardian </w:t>
      </w:r>
      <w:r w:rsidR="00B414BF" w:rsidRPr="004773AA">
        <w:rPr>
          <w:rFonts w:ascii="Arial" w:hAnsi="Arial"/>
        </w:rPr>
        <w:t xml:space="preserve">takes the position that </w:t>
      </w:r>
      <w:r w:rsidRPr="004773AA">
        <w:rPr>
          <w:rFonts w:ascii="Arial" w:hAnsi="Arial"/>
        </w:rPr>
        <w:t xml:space="preserve">the power of attorney continues to be valid, and the remaining attorneys can continue to act in that capacity </w:t>
      </w:r>
      <w:r w:rsidR="00B414BF" w:rsidRPr="004773AA">
        <w:rPr>
          <w:rFonts w:ascii="Arial" w:hAnsi="Arial"/>
        </w:rPr>
        <w:t xml:space="preserve">where </w:t>
      </w:r>
      <w:r w:rsidRPr="004773AA">
        <w:rPr>
          <w:rFonts w:ascii="Arial" w:hAnsi="Arial"/>
        </w:rPr>
        <w:t>an attorney dies or becomes incapable</w:t>
      </w:r>
      <w:r w:rsidR="00B414BF" w:rsidRPr="004773AA">
        <w:rPr>
          <w:rFonts w:ascii="Arial" w:hAnsi="Arial"/>
        </w:rPr>
        <w:t xml:space="preserve"> themselves</w:t>
      </w:r>
      <w:r w:rsidRPr="004773AA">
        <w:rPr>
          <w:rFonts w:ascii="Arial" w:hAnsi="Arial"/>
        </w:rPr>
        <w:t xml:space="preserve">. </w:t>
      </w:r>
    </w:p>
    <w:p w:rsidR="006B3191" w:rsidRPr="004773AA" w:rsidRDefault="006B3191" w:rsidP="004773AA">
      <w:pPr>
        <w:spacing w:line="360" w:lineRule="auto"/>
        <w:rPr>
          <w:rFonts w:ascii="Arial" w:hAnsi="Arial"/>
        </w:rPr>
      </w:pPr>
    </w:p>
    <w:p w:rsidR="0088766E" w:rsidRPr="00C73BDA" w:rsidRDefault="00E5369B" w:rsidP="004773AA">
      <w:pPr>
        <w:pStyle w:val="ListParagraph"/>
        <w:numPr>
          <w:ilvl w:val="0"/>
          <w:numId w:val="9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 w:rsidRPr="004773AA">
        <w:rPr>
          <w:rFonts w:ascii="Arial" w:hAnsi="Arial"/>
          <w:b/>
          <w:bCs/>
          <w:sz w:val="22"/>
          <w:szCs w:val="22"/>
        </w:rPr>
        <w:lastRenderedPageBreak/>
        <w:t xml:space="preserve">The effect </w:t>
      </w:r>
      <w:r w:rsidRPr="00234F7A">
        <w:rPr>
          <w:rFonts w:ascii="Arial" w:hAnsi="Arial"/>
          <w:b/>
          <w:bCs/>
          <w:sz w:val="22"/>
          <w:szCs w:val="22"/>
        </w:rPr>
        <w:t>of resignation on joint appointments</w:t>
      </w:r>
    </w:p>
    <w:p w:rsidR="0088766E" w:rsidRPr="00234F7A" w:rsidRDefault="00E5369B" w:rsidP="004773AA">
      <w:pPr>
        <w:spacing w:line="360" w:lineRule="auto"/>
        <w:rPr>
          <w:rFonts w:ascii="Arial" w:hAnsi="Arial"/>
        </w:rPr>
      </w:pPr>
      <w:r w:rsidRPr="00234F7A">
        <w:rPr>
          <w:rFonts w:ascii="Arial" w:hAnsi="Arial"/>
        </w:rPr>
        <w:t>T</w:t>
      </w:r>
      <w:r w:rsidR="0088766E" w:rsidRPr="00234F7A">
        <w:rPr>
          <w:rFonts w:ascii="Arial" w:hAnsi="Arial"/>
        </w:rPr>
        <w:t xml:space="preserve">he Public Guardian </w:t>
      </w:r>
      <w:r w:rsidR="00B414BF" w:rsidRPr="00234F7A">
        <w:rPr>
          <w:rFonts w:ascii="Arial" w:hAnsi="Arial"/>
        </w:rPr>
        <w:t xml:space="preserve">will take the position </w:t>
      </w:r>
      <w:r w:rsidR="00006C53" w:rsidRPr="00234F7A">
        <w:rPr>
          <w:rFonts w:ascii="Arial" w:hAnsi="Arial"/>
        </w:rPr>
        <w:t xml:space="preserve">that </w:t>
      </w:r>
      <w:r w:rsidR="0088766E" w:rsidRPr="00234F7A">
        <w:rPr>
          <w:rFonts w:ascii="Arial" w:hAnsi="Arial"/>
        </w:rPr>
        <w:t>a joint attorney can continue to act after another attorney has resigned if evidence that the</w:t>
      </w:r>
      <w:r w:rsidR="00B414BF" w:rsidRPr="00234F7A">
        <w:rPr>
          <w:rFonts w:ascii="Arial" w:hAnsi="Arial"/>
        </w:rPr>
        <w:t xml:space="preserve"> remaining attorney is </w:t>
      </w:r>
      <w:r w:rsidR="0088766E" w:rsidRPr="00234F7A">
        <w:rPr>
          <w:rFonts w:ascii="Arial" w:hAnsi="Arial"/>
        </w:rPr>
        <w:t>willing to do so accompanies the notice of resignation.</w:t>
      </w:r>
    </w:p>
    <w:p w:rsidR="00B87A08" w:rsidRPr="00234F7A" w:rsidRDefault="00B87A08" w:rsidP="004773AA">
      <w:pPr>
        <w:spacing w:line="360" w:lineRule="auto"/>
        <w:rPr>
          <w:rFonts w:ascii="Arial" w:hAnsi="Arial"/>
        </w:rPr>
      </w:pPr>
    </w:p>
    <w:p w:rsidR="004475F9" w:rsidRPr="00234F7A" w:rsidRDefault="004475F9" w:rsidP="004773AA">
      <w:pPr>
        <w:spacing w:line="360" w:lineRule="auto"/>
        <w:rPr>
          <w:rFonts w:ascii="Arial" w:hAnsi="Arial"/>
        </w:rPr>
      </w:pPr>
    </w:p>
    <w:p w:rsidR="003F74C9" w:rsidRPr="00C73BDA" w:rsidRDefault="00994A61" w:rsidP="004773AA">
      <w:pPr>
        <w:pStyle w:val="ListParagraph"/>
        <w:numPr>
          <w:ilvl w:val="0"/>
          <w:numId w:val="9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 w:rsidRPr="00234F7A">
        <w:rPr>
          <w:rFonts w:ascii="Arial" w:hAnsi="Arial"/>
          <w:b/>
          <w:bCs/>
          <w:sz w:val="22"/>
          <w:szCs w:val="22"/>
        </w:rPr>
        <w:t>Powers of</w:t>
      </w:r>
      <w:r w:rsidR="00234F7A">
        <w:rPr>
          <w:rFonts w:ascii="Arial" w:hAnsi="Arial"/>
          <w:b/>
          <w:bCs/>
          <w:sz w:val="22"/>
          <w:szCs w:val="22"/>
        </w:rPr>
        <w:t xml:space="preserve"> a</w:t>
      </w:r>
      <w:r w:rsidRPr="00234F7A">
        <w:rPr>
          <w:rFonts w:ascii="Arial" w:hAnsi="Arial"/>
          <w:b/>
          <w:bCs/>
          <w:sz w:val="22"/>
          <w:szCs w:val="22"/>
        </w:rPr>
        <w:t xml:space="preserve">ttorney with wording </w:t>
      </w:r>
      <w:r w:rsidR="003F74C9" w:rsidRPr="00234F7A">
        <w:rPr>
          <w:rFonts w:ascii="Arial" w:hAnsi="Arial"/>
          <w:b/>
          <w:bCs/>
          <w:sz w:val="22"/>
          <w:szCs w:val="22"/>
        </w:rPr>
        <w:t>“</w:t>
      </w:r>
      <w:r w:rsidR="00C76FC2" w:rsidRPr="00234F7A">
        <w:rPr>
          <w:rFonts w:ascii="Arial" w:hAnsi="Arial"/>
          <w:b/>
          <w:bCs/>
          <w:sz w:val="22"/>
          <w:szCs w:val="22"/>
        </w:rPr>
        <w:t xml:space="preserve">… </w:t>
      </w:r>
      <w:r w:rsidR="007E1581" w:rsidRPr="00234F7A">
        <w:rPr>
          <w:rFonts w:ascii="Arial" w:hAnsi="Arial"/>
          <w:b/>
          <w:bCs/>
          <w:i/>
          <w:iCs/>
          <w:sz w:val="22"/>
          <w:szCs w:val="22"/>
        </w:rPr>
        <w:t>or</w:t>
      </w:r>
      <w:r w:rsidR="003F74C9" w:rsidRPr="00234F7A">
        <w:rPr>
          <w:rFonts w:ascii="Arial" w:hAnsi="Arial"/>
          <w:b/>
          <w:bCs/>
          <w:i/>
          <w:iCs/>
          <w:sz w:val="22"/>
          <w:szCs w:val="22"/>
        </w:rPr>
        <w:t xml:space="preserve"> the survivor</w:t>
      </w:r>
      <w:r w:rsidR="003F74C9" w:rsidRPr="00234F7A">
        <w:rPr>
          <w:rFonts w:ascii="Arial" w:hAnsi="Arial"/>
          <w:b/>
          <w:bCs/>
          <w:sz w:val="22"/>
          <w:szCs w:val="22"/>
        </w:rPr>
        <w:t>”</w:t>
      </w:r>
    </w:p>
    <w:p w:rsidR="003F74C9" w:rsidRPr="00234F7A" w:rsidRDefault="003F74C9" w:rsidP="004773AA">
      <w:pPr>
        <w:spacing w:line="360" w:lineRule="auto"/>
        <w:rPr>
          <w:rFonts w:ascii="Arial" w:hAnsi="Arial"/>
        </w:rPr>
      </w:pPr>
      <w:r w:rsidRPr="00234F7A">
        <w:rPr>
          <w:rFonts w:ascii="Arial" w:hAnsi="Arial"/>
        </w:rPr>
        <w:t xml:space="preserve">The Public Guardian will interpret powers of attorney </w:t>
      </w:r>
      <w:r w:rsidR="00994A61" w:rsidRPr="00234F7A">
        <w:rPr>
          <w:rFonts w:ascii="Arial" w:hAnsi="Arial"/>
        </w:rPr>
        <w:t>which</w:t>
      </w:r>
      <w:r w:rsidR="007E1581" w:rsidRPr="00234F7A">
        <w:rPr>
          <w:rFonts w:ascii="Arial" w:hAnsi="Arial"/>
        </w:rPr>
        <w:t xml:space="preserve"> appoint more than one attorney “</w:t>
      </w:r>
      <w:r w:rsidR="007E1581" w:rsidRPr="00234F7A">
        <w:rPr>
          <w:rFonts w:ascii="Arial" w:hAnsi="Arial"/>
          <w:i/>
          <w:iCs/>
        </w:rPr>
        <w:t>or the survivor</w:t>
      </w:r>
      <w:r w:rsidR="007E1581" w:rsidRPr="00234F7A">
        <w:rPr>
          <w:rFonts w:ascii="Arial" w:hAnsi="Arial"/>
        </w:rPr>
        <w:t xml:space="preserve">” (or with equivalent wording) </w:t>
      </w:r>
      <w:r w:rsidR="007C41CE" w:rsidRPr="00234F7A">
        <w:rPr>
          <w:rFonts w:ascii="Arial" w:hAnsi="Arial"/>
        </w:rPr>
        <w:t>as meaning “</w:t>
      </w:r>
      <w:r w:rsidR="007C41CE" w:rsidRPr="00234F7A">
        <w:rPr>
          <w:rFonts w:ascii="Arial" w:hAnsi="Arial"/>
          <w:i/>
          <w:iCs/>
        </w:rPr>
        <w:t>or the survivor as attorneys</w:t>
      </w:r>
      <w:r w:rsidR="007C41CE" w:rsidRPr="00234F7A">
        <w:rPr>
          <w:rFonts w:ascii="Arial" w:hAnsi="Arial"/>
        </w:rPr>
        <w:t xml:space="preserve">” in the absence of additional wording indicating otherwise. This means that the power of attorney will continue to be valid upon the death, incapacity, or resignation of an attorney. </w:t>
      </w:r>
    </w:p>
    <w:p w:rsidR="007C41CE" w:rsidRDefault="007C41CE" w:rsidP="004773AA">
      <w:pPr>
        <w:spacing w:line="360" w:lineRule="auto"/>
        <w:rPr>
          <w:rFonts w:ascii="Arial" w:hAnsi="Arial"/>
        </w:rPr>
      </w:pPr>
    </w:p>
    <w:p w:rsidR="008676B5" w:rsidRPr="00234F7A" w:rsidRDefault="008676B5" w:rsidP="004773AA">
      <w:pPr>
        <w:spacing w:line="360" w:lineRule="auto"/>
        <w:rPr>
          <w:rFonts w:ascii="Arial" w:hAnsi="Arial"/>
        </w:rPr>
      </w:pPr>
    </w:p>
    <w:p w:rsidR="006E1F70" w:rsidRPr="00C73BDA" w:rsidRDefault="00236B46" w:rsidP="004773AA">
      <w:pPr>
        <w:pStyle w:val="ListParagraph"/>
        <w:numPr>
          <w:ilvl w:val="0"/>
          <w:numId w:val="9"/>
        </w:numPr>
        <w:spacing w:line="360" w:lineRule="auto"/>
        <w:rPr>
          <w:rFonts w:ascii="Arial" w:hAnsi="Arial"/>
          <w:b/>
          <w:bCs/>
          <w:i/>
          <w:iCs/>
          <w:sz w:val="22"/>
          <w:szCs w:val="22"/>
        </w:rPr>
      </w:pPr>
      <w:r w:rsidRPr="00234F7A">
        <w:rPr>
          <w:rFonts w:ascii="Arial" w:hAnsi="Arial"/>
          <w:b/>
          <w:bCs/>
          <w:sz w:val="22"/>
          <w:szCs w:val="22"/>
        </w:rPr>
        <w:t>Powers of Attorney with wording</w:t>
      </w:r>
      <w:r w:rsidRPr="00234F7A">
        <w:rPr>
          <w:rFonts w:ascii="Arial" w:hAnsi="Arial"/>
          <w:sz w:val="22"/>
          <w:szCs w:val="22"/>
        </w:rPr>
        <w:t xml:space="preserve"> </w:t>
      </w:r>
      <w:r w:rsidR="006E1F70" w:rsidRPr="00234F7A">
        <w:rPr>
          <w:rFonts w:ascii="Arial" w:hAnsi="Arial"/>
          <w:i/>
          <w:iCs/>
          <w:sz w:val="22"/>
          <w:szCs w:val="22"/>
        </w:rPr>
        <w:t>“</w:t>
      </w:r>
      <w:r w:rsidR="00C76FC2" w:rsidRPr="00234F7A">
        <w:rPr>
          <w:rFonts w:ascii="Arial" w:hAnsi="Arial"/>
          <w:i/>
          <w:iCs/>
          <w:sz w:val="22"/>
          <w:szCs w:val="22"/>
        </w:rPr>
        <w:t xml:space="preserve">… </w:t>
      </w:r>
      <w:r w:rsidR="00C76FC2" w:rsidRPr="00234F7A">
        <w:rPr>
          <w:rFonts w:ascii="Arial" w:hAnsi="Arial"/>
          <w:b/>
          <w:bCs/>
          <w:i/>
          <w:iCs/>
          <w:sz w:val="22"/>
          <w:szCs w:val="22"/>
        </w:rPr>
        <w:t>e</w:t>
      </w:r>
      <w:r w:rsidR="006E1F70" w:rsidRPr="00234F7A">
        <w:rPr>
          <w:rFonts w:ascii="Arial" w:hAnsi="Arial"/>
          <w:b/>
          <w:bCs/>
          <w:i/>
          <w:iCs/>
          <w:sz w:val="22"/>
          <w:szCs w:val="22"/>
        </w:rPr>
        <w:t>ach of them alone and to the survivor”</w:t>
      </w:r>
    </w:p>
    <w:p w:rsidR="00CF6A9D" w:rsidRPr="00234F7A" w:rsidRDefault="006E1F70" w:rsidP="004773AA">
      <w:pPr>
        <w:spacing w:line="360" w:lineRule="auto"/>
        <w:rPr>
          <w:rFonts w:ascii="Arial" w:hAnsi="Arial"/>
        </w:rPr>
      </w:pPr>
      <w:r w:rsidRPr="00234F7A">
        <w:rPr>
          <w:rFonts w:ascii="Arial" w:hAnsi="Arial"/>
        </w:rPr>
        <w:t xml:space="preserve">The Public Guardian will interpret powers of attorney </w:t>
      </w:r>
      <w:r w:rsidR="00994A61" w:rsidRPr="00234F7A">
        <w:rPr>
          <w:rFonts w:ascii="Arial" w:hAnsi="Arial"/>
        </w:rPr>
        <w:t>which</w:t>
      </w:r>
      <w:r w:rsidRPr="00234F7A">
        <w:rPr>
          <w:rFonts w:ascii="Arial" w:hAnsi="Arial"/>
        </w:rPr>
        <w:t xml:space="preserve"> appoint more than one attorney “</w:t>
      </w:r>
      <w:r w:rsidRPr="00234F7A">
        <w:rPr>
          <w:rFonts w:ascii="Arial" w:hAnsi="Arial"/>
          <w:i/>
          <w:iCs/>
        </w:rPr>
        <w:t xml:space="preserve">each of them alone </w:t>
      </w:r>
      <w:r w:rsidR="006E740A" w:rsidRPr="00234F7A">
        <w:rPr>
          <w:rFonts w:ascii="Arial" w:hAnsi="Arial"/>
          <w:i/>
          <w:iCs/>
        </w:rPr>
        <w:t>or</w:t>
      </w:r>
      <w:r w:rsidRPr="00234F7A">
        <w:rPr>
          <w:rFonts w:ascii="Arial" w:hAnsi="Arial"/>
          <w:i/>
          <w:iCs/>
        </w:rPr>
        <w:t xml:space="preserve"> the survivor” </w:t>
      </w:r>
      <w:r w:rsidR="006E740A" w:rsidRPr="00234F7A">
        <w:rPr>
          <w:rFonts w:ascii="Arial" w:hAnsi="Arial"/>
        </w:rPr>
        <w:t xml:space="preserve">(or equivalent wording) </w:t>
      </w:r>
      <w:r w:rsidRPr="00234F7A">
        <w:rPr>
          <w:rFonts w:ascii="Arial" w:hAnsi="Arial"/>
        </w:rPr>
        <w:t>as</w:t>
      </w:r>
      <w:r w:rsidR="006E740A" w:rsidRPr="00234F7A">
        <w:rPr>
          <w:rFonts w:ascii="Arial" w:hAnsi="Arial"/>
        </w:rPr>
        <w:t xml:space="preserve"> appointing attorneys </w:t>
      </w:r>
      <w:r w:rsidR="006E740A" w:rsidRPr="00234F7A">
        <w:rPr>
          <w:rFonts w:ascii="Arial" w:hAnsi="Arial"/>
          <w:bCs/>
        </w:rPr>
        <w:t>jointly and severally</w:t>
      </w:r>
      <w:r w:rsidR="006E740A" w:rsidRPr="00234F7A">
        <w:rPr>
          <w:rFonts w:ascii="Arial" w:hAnsi="Arial"/>
        </w:rPr>
        <w:t xml:space="preserve"> in the absence of additional wording indicating otherwise. This means that: (i) there is more than one attorney; (ii) each can make decisions individually; and (iii) in line with the above, the power of attorney will continue to be valid upon the death, incapacity, or resignation of an attorney.</w:t>
      </w:r>
    </w:p>
    <w:p w:rsidR="006E740A" w:rsidRDefault="006E740A" w:rsidP="004773AA">
      <w:pPr>
        <w:spacing w:line="360" w:lineRule="auto"/>
        <w:rPr>
          <w:rFonts w:ascii="Arial" w:hAnsi="Arial"/>
        </w:rPr>
      </w:pPr>
    </w:p>
    <w:p w:rsidR="008676B5" w:rsidRPr="00234F7A" w:rsidRDefault="008676B5" w:rsidP="004773AA">
      <w:pPr>
        <w:spacing w:line="360" w:lineRule="auto"/>
        <w:rPr>
          <w:rFonts w:ascii="Arial" w:hAnsi="Arial"/>
        </w:rPr>
      </w:pPr>
    </w:p>
    <w:p w:rsidR="006E1F70" w:rsidRPr="00C73BDA" w:rsidRDefault="006E740A" w:rsidP="004773AA">
      <w:pPr>
        <w:pStyle w:val="ListParagraph"/>
        <w:numPr>
          <w:ilvl w:val="0"/>
          <w:numId w:val="9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 w:rsidRPr="00234F7A">
        <w:rPr>
          <w:rFonts w:ascii="Arial" w:hAnsi="Arial"/>
          <w:b/>
          <w:bCs/>
          <w:sz w:val="22"/>
          <w:szCs w:val="22"/>
        </w:rPr>
        <w:t>Application of guidance</w:t>
      </w:r>
    </w:p>
    <w:p w:rsidR="0088766E" w:rsidRPr="00234F7A" w:rsidRDefault="0088766E" w:rsidP="004773AA">
      <w:pPr>
        <w:spacing w:line="360" w:lineRule="auto"/>
        <w:rPr>
          <w:rFonts w:ascii="Arial" w:hAnsi="Arial"/>
        </w:rPr>
      </w:pPr>
      <w:r w:rsidRPr="00234F7A">
        <w:rPr>
          <w:rFonts w:ascii="Arial" w:hAnsi="Arial"/>
        </w:rPr>
        <w:t xml:space="preserve">For the avoidance of doubt, this guidance applies to </w:t>
      </w:r>
      <w:r w:rsidR="00236B46" w:rsidRPr="00234F7A">
        <w:rPr>
          <w:rFonts w:ascii="Arial" w:hAnsi="Arial"/>
        </w:rPr>
        <w:t xml:space="preserve">both </w:t>
      </w:r>
      <w:r w:rsidRPr="00234F7A">
        <w:rPr>
          <w:rFonts w:ascii="Arial" w:hAnsi="Arial"/>
        </w:rPr>
        <w:t xml:space="preserve">powers of attorney </w:t>
      </w:r>
      <w:r w:rsidR="00236B46" w:rsidRPr="00234F7A">
        <w:rPr>
          <w:rFonts w:ascii="Arial" w:hAnsi="Arial"/>
        </w:rPr>
        <w:t xml:space="preserve">which the Public Guardian has </w:t>
      </w:r>
      <w:r w:rsidR="008F7F37" w:rsidRPr="00234F7A">
        <w:rPr>
          <w:rFonts w:ascii="Arial" w:hAnsi="Arial"/>
        </w:rPr>
        <w:t>registered</w:t>
      </w:r>
      <w:r w:rsidRPr="00234F7A">
        <w:rPr>
          <w:rFonts w:ascii="Arial" w:hAnsi="Arial"/>
        </w:rPr>
        <w:t xml:space="preserve"> and those </w:t>
      </w:r>
      <w:r w:rsidR="00236B46" w:rsidRPr="00234F7A">
        <w:rPr>
          <w:rFonts w:ascii="Arial" w:hAnsi="Arial"/>
        </w:rPr>
        <w:t xml:space="preserve">to be </w:t>
      </w:r>
      <w:r w:rsidRPr="00234F7A">
        <w:rPr>
          <w:rFonts w:ascii="Arial" w:hAnsi="Arial"/>
        </w:rPr>
        <w:t xml:space="preserve">registered in the future. The Public Guardian will apply any provisions or policies relating to the registration, operation and termination of powers of attorney in line with the above guidance. </w:t>
      </w:r>
    </w:p>
    <w:p w:rsidR="00236B46" w:rsidRPr="00234F7A" w:rsidRDefault="00236B46" w:rsidP="004773AA">
      <w:pPr>
        <w:spacing w:line="360" w:lineRule="auto"/>
        <w:rPr>
          <w:rFonts w:ascii="Arial" w:hAnsi="Arial"/>
        </w:rPr>
      </w:pPr>
    </w:p>
    <w:p w:rsidR="00C73BDA" w:rsidRDefault="00C73BDA" w:rsidP="004773AA">
      <w:pPr>
        <w:spacing w:line="360" w:lineRule="auto"/>
        <w:rPr>
          <w:rFonts w:ascii="Arial" w:hAnsi="Arial"/>
          <w:b/>
        </w:rPr>
      </w:pPr>
    </w:p>
    <w:p w:rsidR="00C73BDA" w:rsidRPr="00C73BDA" w:rsidRDefault="00C73BDA" w:rsidP="004773AA">
      <w:pPr>
        <w:spacing w:line="360" w:lineRule="auto"/>
        <w:rPr>
          <w:rFonts w:ascii="Arial" w:hAnsi="Arial"/>
          <w:b/>
        </w:rPr>
      </w:pPr>
      <w:bookmarkStart w:id="0" w:name="_GoBack"/>
      <w:bookmarkEnd w:id="0"/>
      <w:r w:rsidRPr="00C73BDA">
        <w:rPr>
          <w:rFonts w:ascii="Arial" w:hAnsi="Arial"/>
          <w:b/>
        </w:rPr>
        <w:t>Fiona Brown</w:t>
      </w:r>
    </w:p>
    <w:p w:rsidR="00236B46" w:rsidRPr="00C73BDA" w:rsidRDefault="00236B46" w:rsidP="004773AA">
      <w:pPr>
        <w:spacing w:line="360" w:lineRule="auto"/>
        <w:rPr>
          <w:rFonts w:ascii="Arial" w:hAnsi="Arial"/>
          <w:b/>
        </w:rPr>
      </w:pPr>
      <w:r w:rsidRPr="00C73BDA">
        <w:rPr>
          <w:rFonts w:ascii="Arial" w:hAnsi="Arial"/>
          <w:b/>
        </w:rPr>
        <w:t>Public Guardian</w:t>
      </w:r>
    </w:p>
    <w:p w:rsidR="00C73BDA" w:rsidRDefault="00C73BDA" w:rsidP="00C73BDA">
      <w:pPr>
        <w:spacing w:line="360" w:lineRule="auto"/>
        <w:rPr>
          <w:rFonts w:ascii="Arial" w:hAnsi="Arial"/>
        </w:rPr>
      </w:pPr>
    </w:p>
    <w:p w:rsidR="00380F28" w:rsidRPr="00C73BDA" w:rsidRDefault="000E4489" w:rsidP="00C73BD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30</w:t>
      </w:r>
      <w:r w:rsidR="008676B5">
        <w:rPr>
          <w:rFonts w:ascii="Arial" w:hAnsi="Arial"/>
        </w:rPr>
        <w:t xml:space="preserve"> </w:t>
      </w:r>
      <w:r w:rsidR="004475F9">
        <w:rPr>
          <w:rFonts w:ascii="Arial" w:hAnsi="Arial"/>
        </w:rPr>
        <w:t>April 2024</w:t>
      </w:r>
    </w:p>
    <w:sectPr w:rsidR="00380F28" w:rsidRPr="00C73BDA" w:rsidSect="00583E7E">
      <w:footerReference w:type="default" r:id="rId8"/>
      <w:headerReference w:type="first" r:id="rId9"/>
      <w:pgSz w:w="11906" w:h="16838" w:code="9"/>
      <w:pgMar w:top="1440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D8" w:rsidRDefault="009A4ED8" w:rsidP="00E10476">
      <w:r>
        <w:separator/>
      </w:r>
    </w:p>
  </w:endnote>
  <w:endnote w:type="continuationSeparator" w:id="0">
    <w:p w:rsidR="009A4ED8" w:rsidRDefault="009A4ED8" w:rsidP="00E1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212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BDA" w:rsidRDefault="00C73BDA">
        <w:pPr>
          <w:pStyle w:val="Footer"/>
          <w:jc w:val="right"/>
        </w:pPr>
        <w:r w:rsidRPr="00C73BDA">
          <w:rPr>
            <w:rFonts w:ascii="Arial" w:hAnsi="Arial"/>
            <w:sz w:val="16"/>
            <w:szCs w:val="16"/>
          </w:rPr>
          <w:fldChar w:fldCharType="begin"/>
        </w:r>
        <w:r w:rsidRPr="00C73BDA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C73BDA">
          <w:rPr>
            <w:rFonts w:ascii="Arial" w:hAnsi="Arial"/>
            <w:sz w:val="16"/>
            <w:szCs w:val="16"/>
          </w:rPr>
          <w:fldChar w:fldCharType="separate"/>
        </w:r>
        <w:r w:rsidR="001415A9">
          <w:rPr>
            <w:rFonts w:ascii="Arial" w:hAnsi="Arial"/>
            <w:noProof/>
            <w:sz w:val="16"/>
            <w:szCs w:val="16"/>
          </w:rPr>
          <w:t>2</w:t>
        </w:r>
        <w:r w:rsidRPr="00C73BDA">
          <w:rPr>
            <w:rFonts w:ascii="Arial" w:hAnsi="Arial"/>
            <w:noProof/>
            <w:sz w:val="16"/>
            <w:szCs w:val="16"/>
          </w:rPr>
          <w:fldChar w:fldCharType="end"/>
        </w:r>
      </w:p>
    </w:sdtContent>
  </w:sdt>
  <w:p w:rsidR="00C73BDA" w:rsidRDefault="00C73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D8" w:rsidRDefault="009A4ED8" w:rsidP="00E10476">
      <w:r>
        <w:separator/>
      </w:r>
    </w:p>
  </w:footnote>
  <w:footnote w:type="continuationSeparator" w:id="0">
    <w:p w:rsidR="009A4ED8" w:rsidRDefault="009A4ED8" w:rsidP="00E1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21" w:rsidRPr="00583E7E" w:rsidRDefault="00A20421" w:rsidP="004475F9">
    <w:pPr>
      <w:jc w:val="right"/>
    </w:pPr>
    <w:r>
      <w:t xml:space="preserve"> </w:t>
    </w:r>
    <w:r w:rsidR="004475F9">
      <w:fldChar w:fldCharType="begin"/>
    </w:r>
    <w:r w:rsidR="004475F9">
      <w:instrText xml:space="preserve"> INCLUDEPICTURE "http://myscs/library/Support/Templates/Crests/Office%20of%20the%20Public%20Guardian.gif" \* MERGEFORMATINET </w:instrText>
    </w:r>
    <w:r w:rsidR="004475F9">
      <w:fldChar w:fldCharType="separate"/>
    </w:r>
    <w:r w:rsidR="009F4524">
      <w:fldChar w:fldCharType="begin"/>
    </w:r>
    <w:r w:rsidR="009F4524">
      <w:instrText xml:space="preserve"> INCLUDEPICTURE  "http://myscs/library/Support/Templates/Crests/Office of the Public Guardian.gif" \* MERGEFORMATINET </w:instrText>
    </w:r>
    <w:r w:rsidR="009F4524">
      <w:fldChar w:fldCharType="separate"/>
    </w:r>
    <w:r w:rsidR="008676B5">
      <w:fldChar w:fldCharType="begin"/>
    </w:r>
    <w:r w:rsidR="008676B5">
      <w:instrText xml:space="preserve"> INCLUDEPICTURE  "http://myscs/library/Support/Templates/Crests/Office of the Public Guardian.gif" \* MERGEFORMATINET </w:instrText>
    </w:r>
    <w:r w:rsidR="008676B5">
      <w:fldChar w:fldCharType="separate"/>
    </w:r>
    <w:r w:rsidR="001415A9">
      <w:fldChar w:fldCharType="begin"/>
    </w:r>
    <w:r w:rsidR="001415A9">
      <w:instrText xml:space="preserve"> </w:instrText>
    </w:r>
    <w:r w:rsidR="001415A9">
      <w:instrText>INCLUDEPICTURE  "http://myscs/library/Support/Templates/Crests/Office of the Public Guardian.gif" \* MERGEFORMATINET</w:instrText>
    </w:r>
    <w:r w:rsidR="001415A9">
      <w:instrText xml:space="preserve"> </w:instrText>
    </w:r>
    <w:r w:rsidR="001415A9">
      <w:fldChar w:fldCharType="separate"/>
    </w:r>
    <w:r w:rsidR="001415A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5pt;height:48pt">
          <v:imagedata r:id="rId1" r:href="rId2"/>
        </v:shape>
      </w:pict>
    </w:r>
    <w:r w:rsidR="001415A9">
      <w:fldChar w:fldCharType="end"/>
    </w:r>
    <w:r w:rsidR="008676B5">
      <w:fldChar w:fldCharType="end"/>
    </w:r>
    <w:r w:rsidR="009F4524">
      <w:fldChar w:fldCharType="end"/>
    </w:r>
    <w:r w:rsidR="004475F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7A8"/>
    <w:multiLevelType w:val="hybridMultilevel"/>
    <w:tmpl w:val="C5B8BB60"/>
    <w:lvl w:ilvl="0" w:tplc="02C2159E">
      <w:start w:val="200"/>
      <w:numFmt w:val="bullet"/>
      <w:pStyle w:val="ASBullets"/>
      <w:lvlText w:val="•"/>
      <w:lvlJc w:val="left"/>
      <w:pPr>
        <w:ind w:left="7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16"/>
        <w:szCs w:val="16"/>
      </w:rPr>
    </w:lvl>
    <w:lvl w:ilvl="1" w:tplc="D4A662C0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color w:val="F82B1D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71DD"/>
    <w:multiLevelType w:val="multilevel"/>
    <w:tmpl w:val="CCE87DDC"/>
    <w:lvl w:ilvl="0">
      <w:start w:val="1"/>
      <w:numFmt w:val="decimal"/>
      <w:pStyle w:val="ASNumberedLevel1"/>
      <w:lvlText w:val="%1."/>
      <w:lvlJc w:val="left"/>
      <w:pPr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SNumberedLevel2"/>
      <w:lvlText w:val="%1.%2."/>
      <w:lvlJc w:val="left"/>
      <w:pPr>
        <w:ind w:left="454" w:hanging="454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pStyle w:val="ASNumberedLevel3"/>
      <w:lvlText w:val="%1.%2.%3."/>
      <w:lvlJc w:val="left"/>
      <w:pPr>
        <w:ind w:left="680" w:hanging="226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pStyle w:val="ASNumbered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ASNumberedLe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ASNumberedLevel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4B5B65"/>
    <w:multiLevelType w:val="hybridMultilevel"/>
    <w:tmpl w:val="13E4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7509"/>
    <w:multiLevelType w:val="hybridMultilevel"/>
    <w:tmpl w:val="BB509384"/>
    <w:lvl w:ilvl="0" w:tplc="A872A0AC">
      <w:start w:val="1"/>
      <w:numFmt w:val="lowerLetter"/>
      <w:pStyle w:val="ListParagraph"/>
      <w:lvlText w:val="(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F0D48"/>
    <w:multiLevelType w:val="hybridMultilevel"/>
    <w:tmpl w:val="85127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151EF"/>
    <w:multiLevelType w:val="hybridMultilevel"/>
    <w:tmpl w:val="0FEE8B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33208"/>
    <w:multiLevelType w:val="hybridMultilevel"/>
    <w:tmpl w:val="87C66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F4DD2"/>
    <w:multiLevelType w:val="hybridMultilevel"/>
    <w:tmpl w:val="4114F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00BF"/>
    <w:multiLevelType w:val="multilevel"/>
    <w:tmpl w:val="A70A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67CEA"/>
    <w:multiLevelType w:val="hybridMultilevel"/>
    <w:tmpl w:val="C91CC5C4"/>
    <w:lvl w:ilvl="0" w:tplc="A6A44C12">
      <w:start w:val="1"/>
      <w:numFmt w:val="upperLetter"/>
      <w:pStyle w:val="ASPreambleLettering"/>
      <w:lvlText w:val="(%1)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B4727"/>
    <w:multiLevelType w:val="hybridMultilevel"/>
    <w:tmpl w:val="4DA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4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1" w:alternateStyleNames="0"/>
  <w:defaultTabStop w:val="737"/>
  <w:drawingGridHorizontalSpacing w:val="8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8C"/>
    <w:rsid w:val="00005563"/>
    <w:rsid w:val="000059CF"/>
    <w:rsid w:val="000065E2"/>
    <w:rsid w:val="00006C53"/>
    <w:rsid w:val="00016D7C"/>
    <w:rsid w:val="00017104"/>
    <w:rsid w:val="00022B2D"/>
    <w:rsid w:val="0003130D"/>
    <w:rsid w:val="00032CA6"/>
    <w:rsid w:val="000347BB"/>
    <w:rsid w:val="000368F0"/>
    <w:rsid w:val="000519E7"/>
    <w:rsid w:val="00052CD4"/>
    <w:rsid w:val="00054606"/>
    <w:rsid w:val="0005482E"/>
    <w:rsid w:val="00056E1D"/>
    <w:rsid w:val="00057183"/>
    <w:rsid w:val="0006241D"/>
    <w:rsid w:val="00063D7C"/>
    <w:rsid w:val="00092015"/>
    <w:rsid w:val="00096E34"/>
    <w:rsid w:val="00097E3C"/>
    <w:rsid w:val="000A04DF"/>
    <w:rsid w:val="000A2981"/>
    <w:rsid w:val="000B2EBE"/>
    <w:rsid w:val="000B6C9B"/>
    <w:rsid w:val="000C6021"/>
    <w:rsid w:val="000D31A4"/>
    <w:rsid w:val="000E4489"/>
    <w:rsid w:val="000E4E21"/>
    <w:rsid w:val="00112D32"/>
    <w:rsid w:val="001253F5"/>
    <w:rsid w:val="0012543B"/>
    <w:rsid w:val="00125900"/>
    <w:rsid w:val="001312C3"/>
    <w:rsid w:val="001415A9"/>
    <w:rsid w:val="00144012"/>
    <w:rsid w:val="00146212"/>
    <w:rsid w:val="00150C26"/>
    <w:rsid w:val="001518C5"/>
    <w:rsid w:val="00163642"/>
    <w:rsid w:val="001A0270"/>
    <w:rsid w:val="001A0EEB"/>
    <w:rsid w:val="001B6C6E"/>
    <w:rsid w:val="001D0258"/>
    <w:rsid w:val="001D6A1C"/>
    <w:rsid w:val="0020033B"/>
    <w:rsid w:val="00201CC3"/>
    <w:rsid w:val="002153B0"/>
    <w:rsid w:val="00232593"/>
    <w:rsid w:val="00234F7A"/>
    <w:rsid w:val="00236B46"/>
    <w:rsid w:val="0024364F"/>
    <w:rsid w:val="00250584"/>
    <w:rsid w:val="002567FC"/>
    <w:rsid w:val="00275204"/>
    <w:rsid w:val="002767C6"/>
    <w:rsid w:val="002775E9"/>
    <w:rsid w:val="00281029"/>
    <w:rsid w:val="00284796"/>
    <w:rsid w:val="0029152A"/>
    <w:rsid w:val="002928B7"/>
    <w:rsid w:val="0029313C"/>
    <w:rsid w:val="002A6FE0"/>
    <w:rsid w:val="002B0AAA"/>
    <w:rsid w:val="002B141C"/>
    <w:rsid w:val="002D775B"/>
    <w:rsid w:val="0030006F"/>
    <w:rsid w:val="00303304"/>
    <w:rsid w:val="00306956"/>
    <w:rsid w:val="003269F4"/>
    <w:rsid w:val="003272C9"/>
    <w:rsid w:val="00334EE6"/>
    <w:rsid w:val="00335A66"/>
    <w:rsid w:val="00340D2E"/>
    <w:rsid w:val="003424CC"/>
    <w:rsid w:val="003510A1"/>
    <w:rsid w:val="00356343"/>
    <w:rsid w:val="00361CBA"/>
    <w:rsid w:val="00361D0F"/>
    <w:rsid w:val="00365D79"/>
    <w:rsid w:val="00375858"/>
    <w:rsid w:val="00380F28"/>
    <w:rsid w:val="00383D31"/>
    <w:rsid w:val="003A248B"/>
    <w:rsid w:val="003A4E3E"/>
    <w:rsid w:val="003B4785"/>
    <w:rsid w:val="003D7CED"/>
    <w:rsid w:val="003E7060"/>
    <w:rsid w:val="003F43DF"/>
    <w:rsid w:val="003F6DCB"/>
    <w:rsid w:val="003F74C9"/>
    <w:rsid w:val="004056FE"/>
    <w:rsid w:val="00407184"/>
    <w:rsid w:val="004222B7"/>
    <w:rsid w:val="00430F0A"/>
    <w:rsid w:val="004475F9"/>
    <w:rsid w:val="004607D3"/>
    <w:rsid w:val="00474401"/>
    <w:rsid w:val="004773AA"/>
    <w:rsid w:val="00496894"/>
    <w:rsid w:val="004B1D39"/>
    <w:rsid w:val="004C22AE"/>
    <w:rsid w:val="004C52E7"/>
    <w:rsid w:val="004D2A8F"/>
    <w:rsid w:val="004E2D08"/>
    <w:rsid w:val="004F2ECE"/>
    <w:rsid w:val="00502612"/>
    <w:rsid w:val="00514D30"/>
    <w:rsid w:val="00516396"/>
    <w:rsid w:val="00517ADF"/>
    <w:rsid w:val="0052526E"/>
    <w:rsid w:val="00544699"/>
    <w:rsid w:val="0054514F"/>
    <w:rsid w:val="00545D8D"/>
    <w:rsid w:val="005462EA"/>
    <w:rsid w:val="00547A26"/>
    <w:rsid w:val="00550CE5"/>
    <w:rsid w:val="00555E1C"/>
    <w:rsid w:val="00561807"/>
    <w:rsid w:val="00570887"/>
    <w:rsid w:val="00583E7E"/>
    <w:rsid w:val="00590530"/>
    <w:rsid w:val="0059175F"/>
    <w:rsid w:val="005940E3"/>
    <w:rsid w:val="005940F6"/>
    <w:rsid w:val="00597AA1"/>
    <w:rsid w:val="005B2714"/>
    <w:rsid w:val="005C66BE"/>
    <w:rsid w:val="005D01FF"/>
    <w:rsid w:val="005E576A"/>
    <w:rsid w:val="005F0F2C"/>
    <w:rsid w:val="005F40CC"/>
    <w:rsid w:val="005F45E0"/>
    <w:rsid w:val="006037F9"/>
    <w:rsid w:val="00604E90"/>
    <w:rsid w:val="006126EB"/>
    <w:rsid w:val="00614F9A"/>
    <w:rsid w:val="006208F4"/>
    <w:rsid w:val="00623E54"/>
    <w:rsid w:val="00645AE7"/>
    <w:rsid w:val="0064787F"/>
    <w:rsid w:val="006550C2"/>
    <w:rsid w:val="0066245A"/>
    <w:rsid w:val="00667399"/>
    <w:rsid w:val="006728AF"/>
    <w:rsid w:val="00691B86"/>
    <w:rsid w:val="00692C3D"/>
    <w:rsid w:val="00693422"/>
    <w:rsid w:val="006939EF"/>
    <w:rsid w:val="006B3191"/>
    <w:rsid w:val="006B6904"/>
    <w:rsid w:val="006C1835"/>
    <w:rsid w:val="006C3ACA"/>
    <w:rsid w:val="006E1F70"/>
    <w:rsid w:val="006E4500"/>
    <w:rsid w:val="006E5CC4"/>
    <w:rsid w:val="006E740A"/>
    <w:rsid w:val="006F2EC1"/>
    <w:rsid w:val="006F5731"/>
    <w:rsid w:val="0070477F"/>
    <w:rsid w:val="00717799"/>
    <w:rsid w:val="00733072"/>
    <w:rsid w:val="00740E0D"/>
    <w:rsid w:val="00741B29"/>
    <w:rsid w:val="00745291"/>
    <w:rsid w:val="00754190"/>
    <w:rsid w:val="007628D1"/>
    <w:rsid w:val="00762C96"/>
    <w:rsid w:val="007633E8"/>
    <w:rsid w:val="00764DFA"/>
    <w:rsid w:val="00765D36"/>
    <w:rsid w:val="00773755"/>
    <w:rsid w:val="00781C74"/>
    <w:rsid w:val="007A73A4"/>
    <w:rsid w:val="007B2041"/>
    <w:rsid w:val="007C41CE"/>
    <w:rsid w:val="007D10AF"/>
    <w:rsid w:val="007D2A1A"/>
    <w:rsid w:val="007E1581"/>
    <w:rsid w:val="007F2203"/>
    <w:rsid w:val="007F5EF2"/>
    <w:rsid w:val="0082071A"/>
    <w:rsid w:val="008474B2"/>
    <w:rsid w:val="00852160"/>
    <w:rsid w:val="00853651"/>
    <w:rsid w:val="008662D8"/>
    <w:rsid w:val="008676B5"/>
    <w:rsid w:val="00870001"/>
    <w:rsid w:val="00877269"/>
    <w:rsid w:val="00880D88"/>
    <w:rsid w:val="0088766E"/>
    <w:rsid w:val="00892741"/>
    <w:rsid w:val="00896631"/>
    <w:rsid w:val="008B3B49"/>
    <w:rsid w:val="008C304A"/>
    <w:rsid w:val="008C49D1"/>
    <w:rsid w:val="008D0AD6"/>
    <w:rsid w:val="008D0EB2"/>
    <w:rsid w:val="008D14DE"/>
    <w:rsid w:val="008F7F37"/>
    <w:rsid w:val="00923C0A"/>
    <w:rsid w:val="00931A2B"/>
    <w:rsid w:val="00943F47"/>
    <w:rsid w:val="009471D4"/>
    <w:rsid w:val="0095382F"/>
    <w:rsid w:val="00957481"/>
    <w:rsid w:val="00975830"/>
    <w:rsid w:val="009824B3"/>
    <w:rsid w:val="00994A61"/>
    <w:rsid w:val="00996E19"/>
    <w:rsid w:val="009A1732"/>
    <w:rsid w:val="009A4ED8"/>
    <w:rsid w:val="009A6296"/>
    <w:rsid w:val="009B2385"/>
    <w:rsid w:val="009B4329"/>
    <w:rsid w:val="009C4C82"/>
    <w:rsid w:val="009C6E65"/>
    <w:rsid w:val="009D075D"/>
    <w:rsid w:val="009E43FD"/>
    <w:rsid w:val="009F3ABB"/>
    <w:rsid w:val="009F4524"/>
    <w:rsid w:val="009F48BB"/>
    <w:rsid w:val="00A02BD2"/>
    <w:rsid w:val="00A048C3"/>
    <w:rsid w:val="00A068E7"/>
    <w:rsid w:val="00A11B08"/>
    <w:rsid w:val="00A1293D"/>
    <w:rsid w:val="00A20421"/>
    <w:rsid w:val="00A2168E"/>
    <w:rsid w:val="00A22F61"/>
    <w:rsid w:val="00A26E5F"/>
    <w:rsid w:val="00A41EFD"/>
    <w:rsid w:val="00A458BD"/>
    <w:rsid w:val="00A50A39"/>
    <w:rsid w:val="00A5343D"/>
    <w:rsid w:val="00A90595"/>
    <w:rsid w:val="00A92C09"/>
    <w:rsid w:val="00A94B35"/>
    <w:rsid w:val="00AB4322"/>
    <w:rsid w:val="00AC1104"/>
    <w:rsid w:val="00AD00D3"/>
    <w:rsid w:val="00AE494B"/>
    <w:rsid w:val="00AE6DB8"/>
    <w:rsid w:val="00B0496E"/>
    <w:rsid w:val="00B146A9"/>
    <w:rsid w:val="00B31FC3"/>
    <w:rsid w:val="00B338DA"/>
    <w:rsid w:val="00B37400"/>
    <w:rsid w:val="00B411DE"/>
    <w:rsid w:val="00B414BF"/>
    <w:rsid w:val="00B44ADD"/>
    <w:rsid w:val="00B56811"/>
    <w:rsid w:val="00B56941"/>
    <w:rsid w:val="00B63291"/>
    <w:rsid w:val="00B70FC1"/>
    <w:rsid w:val="00B80CB5"/>
    <w:rsid w:val="00B86660"/>
    <w:rsid w:val="00B87499"/>
    <w:rsid w:val="00B87A08"/>
    <w:rsid w:val="00B92639"/>
    <w:rsid w:val="00BB48B8"/>
    <w:rsid w:val="00BC256A"/>
    <w:rsid w:val="00BC408A"/>
    <w:rsid w:val="00BC5ACF"/>
    <w:rsid w:val="00BD52CA"/>
    <w:rsid w:val="00BF690D"/>
    <w:rsid w:val="00C009D6"/>
    <w:rsid w:val="00C02619"/>
    <w:rsid w:val="00C029ED"/>
    <w:rsid w:val="00C122CF"/>
    <w:rsid w:val="00C23174"/>
    <w:rsid w:val="00C23E84"/>
    <w:rsid w:val="00C35A5D"/>
    <w:rsid w:val="00C4048F"/>
    <w:rsid w:val="00C519AB"/>
    <w:rsid w:val="00C552BB"/>
    <w:rsid w:val="00C6410C"/>
    <w:rsid w:val="00C646FB"/>
    <w:rsid w:val="00C73BDA"/>
    <w:rsid w:val="00C75547"/>
    <w:rsid w:val="00C76FC2"/>
    <w:rsid w:val="00C77F3E"/>
    <w:rsid w:val="00C803C4"/>
    <w:rsid w:val="00C96E68"/>
    <w:rsid w:val="00C97719"/>
    <w:rsid w:val="00CA7C4E"/>
    <w:rsid w:val="00CB7486"/>
    <w:rsid w:val="00CC18A0"/>
    <w:rsid w:val="00CC6581"/>
    <w:rsid w:val="00CD70F3"/>
    <w:rsid w:val="00CE4987"/>
    <w:rsid w:val="00CF5C07"/>
    <w:rsid w:val="00CF6A9D"/>
    <w:rsid w:val="00D01795"/>
    <w:rsid w:val="00D02EA5"/>
    <w:rsid w:val="00D068C0"/>
    <w:rsid w:val="00D23FBB"/>
    <w:rsid w:val="00D404B4"/>
    <w:rsid w:val="00D517B8"/>
    <w:rsid w:val="00D6664D"/>
    <w:rsid w:val="00D82202"/>
    <w:rsid w:val="00D90905"/>
    <w:rsid w:val="00DB3298"/>
    <w:rsid w:val="00DB6A25"/>
    <w:rsid w:val="00DB7B8C"/>
    <w:rsid w:val="00DC34A5"/>
    <w:rsid w:val="00DC581B"/>
    <w:rsid w:val="00DC7297"/>
    <w:rsid w:val="00DD4845"/>
    <w:rsid w:val="00DF0FC7"/>
    <w:rsid w:val="00DF15F7"/>
    <w:rsid w:val="00DF1B55"/>
    <w:rsid w:val="00DF1C44"/>
    <w:rsid w:val="00DF7718"/>
    <w:rsid w:val="00E05FB1"/>
    <w:rsid w:val="00E10476"/>
    <w:rsid w:val="00E20192"/>
    <w:rsid w:val="00E237DC"/>
    <w:rsid w:val="00E30F08"/>
    <w:rsid w:val="00E421F4"/>
    <w:rsid w:val="00E521CB"/>
    <w:rsid w:val="00E5369B"/>
    <w:rsid w:val="00E540C5"/>
    <w:rsid w:val="00E6329B"/>
    <w:rsid w:val="00E64F87"/>
    <w:rsid w:val="00E71DD8"/>
    <w:rsid w:val="00E77A34"/>
    <w:rsid w:val="00E77F79"/>
    <w:rsid w:val="00E960FB"/>
    <w:rsid w:val="00EA49BC"/>
    <w:rsid w:val="00EC3E6C"/>
    <w:rsid w:val="00ED06B4"/>
    <w:rsid w:val="00ED582B"/>
    <w:rsid w:val="00EE4824"/>
    <w:rsid w:val="00EE4EBE"/>
    <w:rsid w:val="00EF1B01"/>
    <w:rsid w:val="00F05C99"/>
    <w:rsid w:val="00F07315"/>
    <w:rsid w:val="00F2052D"/>
    <w:rsid w:val="00F21111"/>
    <w:rsid w:val="00F51939"/>
    <w:rsid w:val="00F53232"/>
    <w:rsid w:val="00F646AF"/>
    <w:rsid w:val="00F76FEC"/>
    <w:rsid w:val="00F77C67"/>
    <w:rsid w:val="00F91015"/>
    <w:rsid w:val="00F94EC5"/>
    <w:rsid w:val="00F96867"/>
    <w:rsid w:val="00FA79B9"/>
    <w:rsid w:val="00FB360D"/>
    <w:rsid w:val="00FB700E"/>
    <w:rsid w:val="00FC2613"/>
    <w:rsid w:val="00FC5713"/>
    <w:rsid w:val="00FC784A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D4D194E"/>
  <w15:chartTrackingRefBased/>
  <w15:docId w15:val="{6B3027E4-23CE-476E-B88F-3DBC676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0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0"/>
    <w:rsid w:val="009C6E6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059CF"/>
    <w:pPr>
      <w:keepNext/>
      <w:keepLines/>
      <w:spacing w:after="800"/>
      <w:outlineLvl w:val="0"/>
    </w:pPr>
    <w:rPr>
      <w:rFonts w:eastAsiaTheme="majorEastAsia"/>
      <w:b/>
      <w:bCs/>
      <w:color w:val="6E313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B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059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9CF"/>
  </w:style>
  <w:style w:type="paragraph" w:styleId="Footer">
    <w:name w:val="footer"/>
    <w:basedOn w:val="Normal"/>
    <w:link w:val="FooterChar"/>
    <w:uiPriority w:val="99"/>
    <w:rsid w:val="000059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9CF"/>
  </w:style>
  <w:style w:type="paragraph" w:styleId="BalloonText">
    <w:name w:val="Balloon Text"/>
    <w:basedOn w:val="Normal"/>
    <w:link w:val="BalloonTextChar"/>
    <w:uiPriority w:val="99"/>
    <w:semiHidden/>
    <w:rsid w:val="000059CF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CF"/>
    <w:rPr>
      <w:rFonts w:ascii="Tahoma" w:hAnsi="Tahoma" w:cs="Tahoma"/>
    </w:rPr>
  </w:style>
  <w:style w:type="table" w:styleId="LightList">
    <w:name w:val="Light List"/>
    <w:basedOn w:val="TableNormal"/>
    <w:uiPriority w:val="61"/>
    <w:rsid w:val="000059C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SHeading1">
    <w:name w:val="AS Heading 1"/>
    <w:next w:val="ASNormal"/>
    <w:uiPriority w:val="14"/>
    <w:qFormat/>
    <w:rsid w:val="000059CF"/>
    <w:rPr>
      <w:rFonts w:eastAsiaTheme="majorEastAsia"/>
      <w:b/>
      <w:bCs/>
      <w:sz w:val="44"/>
      <w:szCs w:val="44"/>
    </w:rPr>
  </w:style>
  <w:style w:type="table" w:styleId="TableGrid">
    <w:name w:val="Table Grid"/>
    <w:basedOn w:val="TableNormal"/>
    <w:uiPriority w:val="59"/>
    <w:rsid w:val="000059CF"/>
    <w:pPr>
      <w:spacing w:line="280" w:lineRule="atLeast"/>
    </w:pPr>
    <w:rPr>
      <w:sz w:val="24"/>
      <w:szCs w:val="24"/>
    </w:rPr>
    <w:tblPr>
      <w:tblStyleRowBandSize w:val="1"/>
      <w:tblCellSpacing w:w="28" w:type="dxa"/>
      <w:tblInd w:w="227" w:type="dxa"/>
      <w:tblCellMar>
        <w:top w:w="57" w:type="dxa"/>
        <w:left w:w="227" w:type="dxa"/>
        <w:bottom w:w="85" w:type="dxa"/>
        <w:right w:w="85" w:type="dxa"/>
      </w:tblCellMar>
    </w:tblPr>
    <w:trPr>
      <w:cantSplit/>
      <w:tblCellSpacing w:w="28" w:type="dxa"/>
    </w:trPr>
    <w:tcPr>
      <w:shd w:val="clear" w:color="auto" w:fill="F2F2F2" w:themeFill="background1" w:themeFillShade="F2"/>
    </w:tcPr>
    <w:tblStylePr w:type="firstRow">
      <w:rPr>
        <w:b w:val="0"/>
        <w:bCs w:val="0"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rPr>
        <w:b w:val="0"/>
        <w:bCs w:val="0"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b w:val="0"/>
        <w:bCs w:val="0"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SMainTitle1">
    <w:name w:val="AS Main Title 1"/>
    <w:basedOn w:val="Normal"/>
    <w:next w:val="ASMainTitle2"/>
    <w:uiPriority w:val="17"/>
    <w:qFormat/>
    <w:rsid w:val="000059CF"/>
    <w:pPr>
      <w:spacing w:after="40"/>
      <w:ind w:left="57"/>
    </w:pPr>
    <w:rPr>
      <w:b/>
      <w:bCs/>
      <w:sz w:val="44"/>
      <w:szCs w:val="44"/>
    </w:rPr>
  </w:style>
  <w:style w:type="paragraph" w:customStyle="1" w:styleId="ASBullets">
    <w:name w:val="AS Bullets"/>
    <w:basedOn w:val="ASNormal"/>
    <w:uiPriority w:val="12"/>
    <w:qFormat/>
    <w:rsid w:val="000059CF"/>
    <w:pPr>
      <w:numPr>
        <w:numId w:val="3"/>
      </w:numPr>
      <w:spacing w:after="200" w:line="260" w:lineRule="atLeast"/>
      <w:contextualSpacing/>
    </w:pPr>
  </w:style>
  <w:style w:type="paragraph" w:customStyle="1" w:styleId="ASFooter1">
    <w:name w:val="AS Footer 1"/>
    <w:basedOn w:val="Footer"/>
    <w:uiPriority w:val="13"/>
    <w:qFormat/>
    <w:rsid w:val="000059CF"/>
    <w:pPr>
      <w:tabs>
        <w:tab w:val="clear" w:pos="4513"/>
        <w:tab w:val="clear" w:pos="9026"/>
        <w:tab w:val="right" w:pos="9639"/>
      </w:tabs>
    </w:pPr>
    <w:rPr>
      <w:b/>
      <w:bCs/>
      <w:noProof/>
      <w:sz w:val="18"/>
      <w:szCs w:val="14"/>
      <w:lang w:eastAsia="en-GB"/>
    </w:rPr>
  </w:style>
  <w:style w:type="paragraph" w:customStyle="1" w:styleId="ASNormal">
    <w:name w:val="AS Normal"/>
    <w:basedOn w:val="Normal"/>
    <w:qFormat/>
    <w:rsid w:val="000059CF"/>
    <w:pPr>
      <w:spacing w:after="240"/>
    </w:pPr>
    <w:rPr>
      <w:szCs w:val="20"/>
    </w:rPr>
  </w:style>
  <w:style w:type="paragraph" w:styleId="ListParagraph">
    <w:name w:val="List Paragraph"/>
    <w:basedOn w:val="Normal"/>
    <w:uiPriority w:val="34"/>
    <w:qFormat/>
    <w:rsid w:val="000059CF"/>
    <w:pPr>
      <w:numPr>
        <w:numId w:val="2"/>
      </w:numPr>
      <w:spacing w:after="120" w:line="210" w:lineRule="atLeast"/>
      <w:ind w:left="454" w:hanging="454"/>
    </w:pPr>
    <w:rPr>
      <w:sz w:val="18"/>
      <w:szCs w:val="18"/>
    </w:rPr>
  </w:style>
  <w:style w:type="paragraph" w:customStyle="1" w:styleId="ASHeading2">
    <w:name w:val="AS Heading 2"/>
    <w:basedOn w:val="ASNormal"/>
    <w:next w:val="ASNormal"/>
    <w:uiPriority w:val="15"/>
    <w:qFormat/>
    <w:rsid w:val="000059CF"/>
    <w:pPr>
      <w:spacing w:after="20"/>
    </w:pPr>
    <w:rPr>
      <w:sz w:val="36"/>
      <w:szCs w:val="36"/>
    </w:rPr>
  </w:style>
  <w:style w:type="paragraph" w:customStyle="1" w:styleId="ASHeading3">
    <w:name w:val="AS Heading 3"/>
    <w:basedOn w:val="ASHeading2"/>
    <w:next w:val="ASNormal"/>
    <w:uiPriority w:val="16"/>
    <w:qFormat/>
    <w:rsid w:val="000059CF"/>
    <w:pPr>
      <w:spacing w:before="180" w:after="100"/>
    </w:pPr>
    <w:rPr>
      <w:sz w:val="26"/>
      <w:szCs w:val="26"/>
    </w:rPr>
  </w:style>
  <w:style w:type="paragraph" w:customStyle="1" w:styleId="ASNormalBold">
    <w:name w:val="AS Normal (Bold)"/>
    <w:basedOn w:val="ASNormal"/>
    <w:uiPriority w:val="1"/>
    <w:qFormat/>
    <w:rsid w:val="000059CF"/>
    <w:rPr>
      <w:b/>
      <w:bCs/>
    </w:rPr>
  </w:style>
  <w:style w:type="paragraph" w:customStyle="1" w:styleId="ASMainTitle2">
    <w:name w:val="AS Main Title 2"/>
    <w:basedOn w:val="Normal"/>
    <w:next w:val="Normal"/>
    <w:uiPriority w:val="18"/>
    <w:qFormat/>
    <w:rsid w:val="000059CF"/>
    <w:pPr>
      <w:ind w:left="57"/>
    </w:pPr>
    <w:rPr>
      <w:b/>
      <w:bCs/>
      <w:sz w:val="32"/>
      <w:szCs w:val="32"/>
    </w:rPr>
  </w:style>
  <w:style w:type="paragraph" w:customStyle="1" w:styleId="ASMainTitle3">
    <w:name w:val="AS Main Title 3"/>
    <w:basedOn w:val="Normal"/>
    <w:uiPriority w:val="19"/>
    <w:qFormat/>
    <w:rsid w:val="000059CF"/>
    <w:pPr>
      <w:ind w:left="57"/>
      <w:contextualSpacing/>
    </w:pPr>
    <w:rPr>
      <w:sz w:val="32"/>
      <w:szCs w:val="32"/>
    </w:rPr>
  </w:style>
  <w:style w:type="paragraph" w:styleId="FootnoteText">
    <w:name w:val="footnote text"/>
    <w:aliases w:val="AS Footnote Text"/>
    <w:basedOn w:val="ASNormal"/>
    <w:link w:val="FootnoteTextChar"/>
    <w:uiPriority w:val="99"/>
    <w:semiHidden/>
    <w:rsid w:val="000059CF"/>
    <w:rPr>
      <w:sz w:val="18"/>
    </w:rPr>
  </w:style>
  <w:style w:type="character" w:customStyle="1" w:styleId="FootnoteTextChar">
    <w:name w:val="Footnote Text Char"/>
    <w:aliases w:val="AS Footnote Text Char"/>
    <w:basedOn w:val="DefaultParagraphFont"/>
    <w:link w:val="FootnoteText"/>
    <w:uiPriority w:val="99"/>
    <w:semiHidden/>
    <w:rsid w:val="000059CF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0059C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0059CF"/>
    <w:pPr>
      <w:tabs>
        <w:tab w:val="right" w:leader="dot" w:pos="9639"/>
      </w:tabs>
      <w:spacing w:after="100"/>
      <w:ind w:right="112"/>
    </w:pPr>
    <w:rPr>
      <w:b/>
      <w:bCs/>
      <w:sz w:val="24"/>
      <w:szCs w:val="24"/>
    </w:rPr>
  </w:style>
  <w:style w:type="table" w:customStyle="1" w:styleId="ASFiguresTable">
    <w:name w:val="AS Figures Table"/>
    <w:basedOn w:val="TableNormal"/>
    <w:uiPriority w:val="99"/>
    <w:qFormat/>
    <w:rsid w:val="000059CF"/>
    <w:tblPr>
      <w:tblStyleRowBandSize w:val="1"/>
      <w:tblInd w:w="227" w:type="dxa"/>
      <w:tblCellMar>
        <w:top w:w="85" w:type="dxa"/>
        <w:left w:w="198" w:type="dxa"/>
        <w:bottom w:w="85" w:type="dxa"/>
        <w:right w:w="8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Col">
      <w:pPr>
        <w:wordWrap/>
        <w:jc w:val="right"/>
      </w:p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STextBoxesTable">
    <w:name w:val="AS Text Boxes Table"/>
    <w:basedOn w:val="TableNormal"/>
    <w:uiPriority w:val="99"/>
    <w:qFormat/>
    <w:rsid w:val="000059CF"/>
    <w:tblPr>
      <w:tblCellSpacing w:w="28" w:type="dxa"/>
      <w:tblInd w:w="227" w:type="dxa"/>
      <w:tblCellMar>
        <w:top w:w="57" w:type="dxa"/>
        <w:left w:w="227" w:type="dxa"/>
        <w:bottom w:w="85" w:type="dxa"/>
        <w:right w:w="85" w:type="dxa"/>
      </w:tblCellMar>
    </w:tblPr>
    <w:trPr>
      <w:tblCellSpacing w:w="28" w:type="dxa"/>
    </w:tr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ASNormalLarge">
    <w:name w:val="AS Normal (Large)"/>
    <w:basedOn w:val="ASNormal"/>
    <w:uiPriority w:val="2"/>
    <w:qFormat/>
    <w:rsid w:val="000059CF"/>
    <w:pPr>
      <w:spacing w:after="200"/>
      <w:contextualSpacing/>
    </w:pPr>
    <w:rPr>
      <w:sz w:val="24"/>
      <w:szCs w:val="24"/>
    </w:rPr>
  </w:style>
  <w:style w:type="paragraph" w:customStyle="1" w:styleId="ASNumberedLevel1">
    <w:name w:val="AS Numbered (Level 1)"/>
    <w:basedOn w:val="ASNormal"/>
    <w:uiPriority w:val="3"/>
    <w:qFormat/>
    <w:rsid w:val="000059CF"/>
    <w:pPr>
      <w:numPr>
        <w:numId w:val="5"/>
      </w:numPr>
      <w:spacing w:before="240"/>
      <w:ind w:left="567" w:hanging="567"/>
      <w:outlineLvl w:val="0"/>
    </w:pPr>
    <w:rPr>
      <w:szCs w:val="22"/>
    </w:rPr>
  </w:style>
  <w:style w:type="paragraph" w:customStyle="1" w:styleId="ASNumberedLevel2">
    <w:name w:val="AS Numbered (Level 2)"/>
    <w:basedOn w:val="ASNormal"/>
    <w:uiPriority w:val="4"/>
    <w:rsid w:val="000059CF"/>
    <w:pPr>
      <w:numPr>
        <w:ilvl w:val="1"/>
        <w:numId w:val="5"/>
      </w:numPr>
      <w:tabs>
        <w:tab w:val="left" w:pos="1276"/>
      </w:tabs>
      <w:ind w:left="1276" w:hanging="709"/>
      <w:outlineLvl w:val="1"/>
    </w:pPr>
    <w:rPr>
      <w:szCs w:val="22"/>
    </w:rPr>
  </w:style>
  <w:style w:type="paragraph" w:customStyle="1" w:styleId="ASNumberedLevel3">
    <w:name w:val="AS Numbered (Level 3)"/>
    <w:basedOn w:val="ASNormal"/>
    <w:uiPriority w:val="5"/>
    <w:rsid w:val="000059CF"/>
    <w:pPr>
      <w:numPr>
        <w:ilvl w:val="2"/>
        <w:numId w:val="5"/>
      </w:numPr>
      <w:tabs>
        <w:tab w:val="left" w:pos="2127"/>
      </w:tabs>
      <w:ind w:left="2127" w:hanging="851"/>
      <w:outlineLvl w:val="2"/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0059CF"/>
    <w:rPr>
      <w:rFonts w:eastAsiaTheme="majorEastAsia"/>
      <w:b/>
      <w:bCs/>
      <w:color w:val="6E313D"/>
      <w:sz w:val="44"/>
      <w:szCs w:val="44"/>
    </w:rPr>
  </w:style>
  <w:style w:type="paragraph" w:customStyle="1" w:styleId="ASPreambleLettering">
    <w:name w:val="AS Preamble Lettering"/>
    <w:basedOn w:val="ASNormalLarge"/>
    <w:uiPriority w:val="10"/>
    <w:qFormat/>
    <w:rsid w:val="000059CF"/>
    <w:pPr>
      <w:numPr>
        <w:numId w:val="4"/>
      </w:numPr>
      <w:spacing w:before="240" w:after="240"/>
    </w:pPr>
  </w:style>
  <w:style w:type="paragraph" w:customStyle="1" w:styleId="ASNumberedLevel4">
    <w:name w:val="AS Numbered (Level 4)"/>
    <w:basedOn w:val="ASNormal"/>
    <w:uiPriority w:val="6"/>
    <w:rsid w:val="000059CF"/>
    <w:pPr>
      <w:numPr>
        <w:ilvl w:val="3"/>
        <w:numId w:val="5"/>
      </w:numPr>
      <w:tabs>
        <w:tab w:val="left" w:pos="3119"/>
      </w:tabs>
      <w:ind w:left="3119" w:hanging="992"/>
      <w:outlineLvl w:val="3"/>
    </w:pPr>
  </w:style>
  <w:style w:type="paragraph" w:customStyle="1" w:styleId="ASNumberedLevel5">
    <w:name w:val="AS Numbered (Level 5)"/>
    <w:basedOn w:val="ASNormal"/>
    <w:uiPriority w:val="7"/>
    <w:rsid w:val="000059CF"/>
    <w:pPr>
      <w:numPr>
        <w:ilvl w:val="4"/>
        <w:numId w:val="5"/>
      </w:numPr>
      <w:ind w:left="4253" w:hanging="1134"/>
      <w:outlineLvl w:val="4"/>
    </w:pPr>
  </w:style>
  <w:style w:type="paragraph" w:customStyle="1" w:styleId="ASSchedule">
    <w:name w:val="AS Schedule"/>
    <w:basedOn w:val="ASNormalBold"/>
    <w:next w:val="ASNormal"/>
    <w:uiPriority w:val="11"/>
    <w:qFormat/>
    <w:rsid w:val="000059CF"/>
    <w:pPr>
      <w:pageBreakBefore/>
    </w:pPr>
  </w:style>
  <w:style w:type="paragraph" w:customStyle="1" w:styleId="ASNumberedBOLDLevel1">
    <w:name w:val="AS Numbered (BOLD Level 1)"/>
    <w:basedOn w:val="ASNumberedLevel1"/>
    <w:next w:val="ASNormaluseunderBOLDLevel1"/>
    <w:uiPriority w:val="8"/>
    <w:qFormat/>
    <w:rsid w:val="000059CF"/>
    <w:rPr>
      <w:b/>
    </w:rPr>
  </w:style>
  <w:style w:type="paragraph" w:customStyle="1" w:styleId="ASNormaluseunderBOLDLevel1">
    <w:name w:val="AS Normal (use under BOLD Level 1)"/>
    <w:basedOn w:val="ASNormal"/>
    <w:uiPriority w:val="9"/>
    <w:qFormat/>
    <w:rsid w:val="000059CF"/>
    <w:pPr>
      <w:ind w:left="567"/>
    </w:pPr>
  </w:style>
  <w:style w:type="paragraph" w:customStyle="1" w:styleId="ASNumberedLevel6">
    <w:name w:val="AS Numbered (Level 6)"/>
    <w:basedOn w:val="ASNumberedLevel5"/>
    <w:uiPriority w:val="7"/>
    <w:rsid w:val="009C6E65"/>
    <w:pPr>
      <w:numPr>
        <w:ilvl w:val="5"/>
        <w:numId w:val="1"/>
      </w:numPr>
      <w:ind w:left="5529" w:hanging="1276"/>
    </w:pPr>
  </w:style>
  <w:style w:type="paragraph" w:customStyle="1" w:styleId="ASFooterWebAddress">
    <w:name w:val="AS Footer (Web Address)"/>
    <w:basedOn w:val="ASFooter1"/>
    <w:rsid w:val="00CB7486"/>
    <w:pPr>
      <w:spacing w:after="500"/>
      <w:ind w:left="992"/>
    </w:pPr>
    <w:rPr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E4E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4EB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F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0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yscs/library/Support/Templates/Crests/Office%20of%20the%20Public%20Guardian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 M A T T E R S ! 3 5 8 2 2 9 1 9 . 1 < / d o c u m e n t i d >  
     < s e n d e r i d > C M W < / s e n d e r i d >  
     < s e n d e r e m a i l > C A T R I O N A . W A T T @ A N D E R S O N S T R A T H E R N . C O . U K < / s e n d e r e m a i l >  
     < l a s t m o d i f i e d > 2 0 2 4 - 0 2 - 0 9 T 1 0 : 1 3 : 0 0 . 0 0 0 0 0 0 0 + 0 0 : 0 0 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4B3027DB-B2A7-4F66-BC49-662753E1007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Welsh</dc:creator>
  <cp:keywords/>
  <dc:description/>
  <cp:lastModifiedBy>Kerr, Amanda</cp:lastModifiedBy>
  <cp:revision>8</cp:revision>
  <dcterms:created xsi:type="dcterms:W3CDTF">2024-04-03T08:19:00Z</dcterms:created>
  <dcterms:modified xsi:type="dcterms:W3CDTF">2024-04-29T13:54:00Z</dcterms:modified>
</cp:coreProperties>
</file>