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62" w:rsidRPr="007F577E" w:rsidRDefault="00122762" w:rsidP="00122762">
      <w:pPr>
        <w:pStyle w:val="NoSpacing"/>
        <w:rPr>
          <w:b/>
        </w:rPr>
      </w:pPr>
      <w:bookmarkStart w:id="0" w:name="_GoBack"/>
      <w:bookmarkEnd w:id="0"/>
      <w:r w:rsidRPr="007F577E">
        <w:rPr>
          <w:b/>
        </w:rPr>
        <w:t xml:space="preserve">ADULTS WITH INCAPACITY                                                </w:t>
      </w:r>
    </w:p>
    <w:p w:rsidR="00122762" w:rsidRPr="007F577E" w:rsidRDefault="00122762" w:rsidP="00122762">
      <w:pPr>
        <w:pStyle w:val="NoSpacing"/>
      </w:pPr>
      <w:r w:rsidRPr="007F577E">
        <w:t>(SCOTLAND) ACT 2000</w:t>
      </w:r>
    </w:p>
    <w:p w:rsidR="00122762" w:rsidRPr="009F306F" w:rsidRDefault="0032686C" w:rsidP="009F306F">
      <w:pPr>
        <w:pStyle w:val="NoSpacing"/>
        <w:rPr>
          <w:rFonts w:cs="Arial"/>
          <w:color w:val="E36C0A"/>
          <w:szCs w:val="24"/>
        </w:rPr>
      </w:pPr>
      <w:r>
        <w:rPr>
          <w:rFonts w:cs="Arial"/>
          <w:noProof/>
          <w:color w:val="E36C0A"/>
          <w:szCs w:val="24"/>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1780540" cy="469265"/>
            <wp:effectExtent l="0" t="0" r="0" b="0"/>
            <wp:wrapSquare wrapText="bothSides"/>
            <wp:docPr id="4" name="Picture 4" descr="http://myscs/library/Support/Templates/Crests/Office%20of%20the%20Public%20Guardi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scs/library/Support/Templates/Crests/Office%20of%20the%20Public%20Guardian.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054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D23" w:rsidRDefault="00620D09" w:rsidP="002221BF">
      <w:pPr>
        <w:pStyle w:val="NoSpacing"/>
        <w:jc w:val="center"/>
        <w:rPr>
          <w:rFonts w:cs="Arial"/>
          <w:b/>
          <w:color w:val="E36C0A"/>
          <w:sz w:val="28"/>
          <w:szCs w:val="28"/>
        </w:rPr>
      </w:pPr>
      <w:r w:rsidRPr="007C718D">
        <w:rPr>
          <w:rFonts w:cs="Arial"/>
          <w:b/>
          <w:color w:val="E36C0A"/>
          <w:sz w:val="28"/>
          <w:szCs w:val="28"/>
        </w:rPr>
        <w:t>Access to f</w:t>
      </w:r>
      <w:r w:rsidR="002F5D23" w:rsidRPr="007C718D">
        <w:rPr>
          <w:rFonts w:cs="Arial"/>
          <w:b/>
          <w:color w:val="E36C0A"/>
          <w:sz w:val="28"/>
          <w:szCs w:val="28"/>
        </w:rPr>
        <w:t>unds</w:t>
      </w:r>
      <w:r w:rsidR="00905D75" w:rsidRPr="007C718D">
        <w:rPr>
          <w:rFonts w:cs="Arial"/>
          <w:b/>
          <w:color w:val="E36C0A"/>
          <w:sz w:val="28"/>
          <w:szCs w:val="28"/>
        </w:rPr>
        <w:t xml:space="preserve">: </w:t>
      </w:r>
      <w:r w:rsidR="00D454FE" w:rsidRPr="007C718D">
        <w:rPr>
          <w:rFonts w:cs="Arial"/>
          <w:b/>
          <w:color w:val="E36C0A"/>
          <w:sz w:val="28"/>
          <w:szCs w:val="28"/>
        </w:rPr>
        <w:t>A g</w:t>
      </w:r>
      <w:r w:rsidR="002F5D23" w:rsidRPr="007C718D">
        <w:rPr>
          <w:rFonts w:cs="Arial"/>
          <w:b/>
          <w:color w:val="E36C0A"/>
          <w:sz w:val="28"/>
          <w:szCs w:val="28"/>
        </w:rPr>
        <w:t>uide</w:t>
      </w:r>
      <w:r w:rsidR="003B2EB0" w:rsidRPr="007C718D">
        <w:rPr>
          <w:rFonts w:cs="Arial"/>
          <w:b/>
          <w:color w:val="E36C0A"/>
          <w:sz w:val="28"/>
          <w:szCs w:val="28"/>
        </w:rPr>
        <w:t xml:space="preserve"> for banks</w:t>
      </w:r>
      <w:r w:rsidR="00905D75" w:rsidRPr="007C718D">
        <w:rPr>
          <w:rFonts w:cs="Arial"/>
          <w:b/>
          <w:color w:val="E36C0A"/>
          <w:sz w:val="28"/>
          <w:szCs w:val="28"/>
        </w:rPr>
        <w:t xml:space="preserve"> </w:t>
      </w:r>
      <w:r w:rsidR="003B2EB0" w:rsidRPr="007C718D">
        <w:rPr>
          <w:rFonts w:cs="Arial"/>
          <w:b/>
          <w:color w:val="E36C0A"/>
          <w:sz w:val="28"/>
          <w:szCs w:val="28"/>
        </w:rPr>
        <w:t>/</w:t>
      </w:r>
      <w:r w:rsidR="00905D75" w:rsidRPr="007C718D">
        <w:rPr>
          <w:rFonts w:cs="Arial"/>
          <w:b/>
          <w:color w:val="E36C0A"/>
          <w:sz w:val="28"/>
          <w:szCs w:val="28"/>
        </w:rPr>
        <w:t xml:space="preserve"> </w:t>
      </w:r>
      <w:r w:rsidR="003B2EB0" w:rsidRPr="007C718D">
        <w:rPr>
          <w:rFonts w:cs="Arial"/>
          <w:b/>
          <w:color w:val="E36C0A"/>
          <w:sz w:val="28"/>
          <w:szCs w:val="28"/>
        </w:rPr>
        <w:t>building s</w:t>
      </w:r>
      <w:r w:rsidR="00D454FE" w:rsidRPr="007C718D">
        <w:rPr>
          <w:rFonts w:cs="Arial"/>
          <w:b/>
          <w:color w:val="E36C0A"/>
          <w:sz w:val="28"/>
          <w:szCs w:val="28"/>
        </w:rPr>
        <w:t>ocieties (f</w:t>
      </w:r>
      <w:r w:rsidR="002F5D23" w:rsidRPr="007C718D">
        <w:rPr>
          <w:rFonts w:cs="Arial"/>
          <w:b/>
          <w:color w:val="E36C0A"/>
          <w:sz w:val="28"/>
          <w:szCs w:val="28"/>
        </w:rPr>
        <w:t>undholders)</w:t>
      </w:r>
    </w:p>
    <w:p w:rsidR="00EA7630" w:rsidRPr="00EA7630" w:rsidRDefault="00EA7630" w:rsidP="002221BF">
      <w:pPr>
        <w:pStyle w:val="NoSpacing"/>
        <w:jc w:val="center"/>
        <w:rPr>
          <w:rFonts w:cs="Arial"/>
          <w:b/>
          <w:color w:val="E36C0A"/>
          <w:sz w:val="16"/>
          <w:szCs w:val="16"/>
        </w:rPr>
      </w:pPr>
    </w:p>
    <w:p w:rsidR="00E27C71" w:rsidRDefault="0032686C" w:rsidP="009F306F">
      <w:pPr>
        <w:pStyle w:val="NoSpacing"/>
        <w:rPr>
          <w:rFonts w:cs="Arial"/>
          <w:b/>
          <w:color w:val="E36C0A"/>
          <w:sz w:val="28"/>
          <w:szCs w:val="28"/>
        </w:rPr>
      </w:pPr>
      <w:r>
        <w:rPr>
          <w:rFonts w:cs="Arial"/>
          <w:b/>
          <w:noProof/>
          <w:color w:val="E36C0A"/>
          <w:sz w:val="28"/>
          <w:szCs w:val="28"/>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31115</wp:posOffset>
                </wp:positionV>
                <wp:extent cx="6889115" cy="1576070"/>
                <wp:effectExtent l="14605" t="12065" r="1143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115" cy="1576070"/>
                        </a:xfrm>
                        <a:prstGeom prst="roundRect">
                          <a:avLst>
                            <a:gd name="adj" fmla="val 16667"/>
                          </a:avLst>
                        </a:prstGeom>
                        <a:solidFill>
                          <a:srgbClr val="FBD4B4"/>
                        </a:solidFill>
                        <a:ln w="19050">
                          <a:solidFill>
                            <a:srgbClr val="E36C0A"/>
                          </a:solidFill>
                          <a:round/>
                          <a:headEnd/>
                          <a:tailEnd/>
                        </a:ln>
                      </wps:spPr>
                      <wps:txbx>
                        <w:txbxContent>
                          <w:p w:rsidR="00717E57" w:rsidRPr="002F6376" w:rsidRDefault="00717E57" w:rsidP="002F6376">
                            <w:pPr>
                              <w:pStyle w:val="NoSpacing"/>
                              <w:rPr>
                                <w:b/>
                              </w:rPr>
                            </w:pPr>
                            <w:r w:rsidRPr="002F6376">
                              <w:rPr>
                                <w:b/>
                              </w:rPr>
                              <w:t>Who is this leaflet for?</w:t>
                            </w:r>
                          </w:p>
                          <w:p w:rsidR="00717E57" w:rsidRPr="002F6376" w:rsidRDefault="00717E57" w:rsidP="002F6376">
                            <w:pPr>
                              <w:pStyle w:val="NoSpacing"/>
                              <w:rPr>
                                <w:sz w:val="16"/>
                                <w:szCs w:val="16"/>
                              </w:rPr>
                            </w:pPr>
                          </w:p>
                          <w:p w:rsidR="00717E57" w:rsidRDefault="00717E57" w:rsidP="002F6376">
                            <w:pPr>
                              <w:pStyle w:val="NoSpacing"/>
                            </w:pPr>
                            <w:r>
                              <w:t>This is for bank / building society staff who have been presented with the certificate giving a named person or organisation authority to take specific action in relation to the financial affairs of the adult named on the certificate.</w:t>
                            </w:r>
                          </w:p>
                          <w:p w:rsidR="00122762" w:rsidRPr="00122762" w:rsidRDefault="00122762" w:rsidP="002F6376">
                            <w:pPr>
                              <w:pStyle w:val="NoSpacing"/>
                              <w:rPr>
                                <w:sz w:val="16"/>
                                <w:szCs w:val="16"/>
                              </w:rPr>
                            </w:pPr>
                          </w:p>
                          <w:p w:rsidR="00122762" w:rsidRPr="00B736A8" w:rsidRDefault="00122762" w:rsidP="00122762">
                            <w:pPr>
                              <w:autoSpaceDE w:val="0"/>
                              <w:autoSpaceDN w:val="0"/>
                              <w:adjustRightInd w:val="0"/>
                              <w:spacing w:after="0" w:line="240" w:lineRule="auto"/>
                              <w:rPr>
                                <w:rFonts w:cs="Arial"/>
                                <w:b/>
                                <w:color w:val="000000"/>
                                <w:szCs w:val="24"/>
                              </w:rPr>
                            </w:pPr>
                            <w:r w:rsidRPr="00B736A8">
                              <w:rPr>
                                <w:rFonts w:cs="Arial"/>
                                <w:b/>
                                <w:color w:val="000000"/>
                                <w:szCs w:val="24"/>
                              </w:rPr>
                              <w:t>If not familiar with this process at branch level please contact your legal department or in the case of Lloyds Banking Group your processing centre who will be able to advise you.</w:t>
                            </w:r>
                          </w:p>
                          <w:p w:rsidR="00122762" w:rsidRDefault="00122762" w:rsidP="002F6376">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8.6pt;margin-top:2.45pt;width:542.45pt;height:1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" fillcolor="#fbd4b4" strokecolor="#e36c0a" strokeweight="1.5pt">
                <v:textbox>
                  <w:txbxContent>
                    <w:p w:rsidR="00717E57" w:rsidRPr="002F6376" w:rsidRDefault="00717E57" w:rsidP="002F6376">
                      <w:pPr>
                        <w:pStyle w:val="NoSpacing"/>
                        <w:rPr>
                          <w:b/>
                        </w:rPr>
                      </w:pPr>
                      <w:r w:rsidRPr="002F6376">
                        <w:rPr>
                          <w:b/>
                        </w:rPr>
                        <w:t>Who is this leaflet for?</w:t>
                      </w:r>
                    </w:p>
                    <w:p w:rsidR="00717E57" w:rsidRPr="002F6376" w:rsidRDefault="00717E57" w:rsidP="002F6376">
                      <w:pPr>
                        <w:pStyle w:val="NoSpacing"/>
                        <w:rPr>
                          <w:sz w:val="16"/>
                          <w:szCs w:val="16"/>
                        </w:rPr>
                      </w:pPr>
                    </w:p>
                    <w:p w:rsidR="00717E57" w:rsidRDefault="00717E57" w:rsidP="002F6376">
                      <w:pPr>
                        <w:pStyle w:val="NoSpacing"/>
                      </w:pPr>
                      <w:r>
                        <w:t>This is for bank / building society staff who have been presented with the certificate giving a named person or organisation authority to take specific action in relation to the financial affairs of the adult named on the certificate.</w:t>
                      </w:r>
                    </w:p>
                    <w:p w:rsidR="00122762" w:rsidRPr="00122762" w:rsidRDefault="00122762" w:rsidP="002F6376">
                      <w:pPr>
                        <w:pStyle w:val="NoSpacing"/>
                        <w:rPr>
                          <w:sz w:val="16"/>
                          <w:szCs w:val="16"/>
                        </w:rPr>
                      </w:pPr>
                    </w:p>
                    <w:p w:rsidR="00122762" w:rsidRPr="00B736A8" w:rsidRDefault="00122762" w:rsidP="00122762">
                      <w:pPr>
                        <w:autoSpaceDE w:val="0"/>
                        <w:autoSpaceDN w:val="0"/>
                        <w:adjustRightInd w:val="0"/>
                        <w:spacing w:after="0" w:line="240" w:lineRule="auto"/>
                        <w:rPr>
                          <w:rFonts w:cs="Arial"/>
                          <w:b/>
                          <w:color w:val="000000"/>
                          <w:szCs w:val="24"/>
                        </w:rPr>
                      </w:pPr>
                      <w:r w:rsidRPr="00B736A8">
                        <w:rPr>
                          <w:rFonts w:cs="Arial"/>
                          <w:b/>
                          <w:color w:val="000000"/>
                          <w:szCs w:val="24"/>
                        </w:rPr>
                        <w:t>If not familiar with this process at branch level please contact your legal department or in the case of Lloyds Banking Group your processing centre who will be able to advise you.</w:t>
                      </w:r>
                    </w:p>
                    <w:p w:rsidR="00122762" w:rsidRDefault="00122762" w:rsidP="002F6376">
                      <w:pPr>
                        <w:pStyle w:val="NoSpacing"/>
                      </w:pPr>
                    </w:p>
                  </w:txbxContent>
                </v:textbox>
              </v:roundrect>
            </w:pict>
          </mc:Fallback>
        </mc:AlternateContent>
      </w:r>
    </w:p>
    <w:p w:rsidR="00E27C71" w:rsidRDefault="00E27C71" w:rsidP="009F306F">
      <w:pPr>
        <w:pStyle w:val="NoSpacing"/>
        <w:rPr>
          <w:rFonts w:cs="Arial"/>
          <w:b/>
          <w:color w:val="E36C0A"/>
          <w:sz w:val="28"/>
          <w:szCs w:val="28"/>
        </w:rPr>
      </w:pPr>
    </w:p>
    <w:p w:rsidR="00E27C71" w:rsidRDefault="00E27C71" w:rsidP="009F306F">
      <w:pPr>
        <w:pStyle w:val="NoSpacing"/>
        <w:rPr>
          <w:rFonts w:cs="Arial"/>
          <w:b/>
          <w:color w:val="E36C0A"/>
          <w:sz w:val="28"/>
          <w:szCs w:val="28"/>
        </w:rPr>
      </w:pPr>
    </w:p>
    <w:p w:rsidR="00E27C71" w:rsidRDefault="00E27C71" w:rsidP="009F306F">
      <w:pPr>
        <w:pStyle w:val="NoSpacing"/>
        <w:rPr>
          <w:rFonts w:cs="Arial"/>
          <w:b/>
          <w:color w:val="E36C0A"/>
          <w:sz w:val="28"/>
          <w:szCs w:val="28"/>
        </w:rPr>
      </w:pPr>
    </w:p>
    <w:p w:rsidR="00E27C71" w:rsidRDefault="00E27C71" w:rsidP="009F306F">
      <w:pPr>
        <w:pStyle w:val="NoSpacing"/>
        <w:rPr>
          <w:rFonts w:cs="Arial"/>
          <w:b/>
          <w:color w:val="E36C0A"/>
          <w:sz w:val="28"/>
          <w:szCs w:val="28"/>
        </w:rPr>
      </w:pPr>
    </w:p>
    <w:p w:rsidR="00E27C71" w:rsidRPr="007C718D" w:rsidRDefault="00E27C71" w:rsidP="009F306F">
      <w:pPr>
        <w:pStyle w:val="NoSpacing"/>
        <w:rPr>
          <w:rFonts w:cs="Arial"/>
          <w:b/>
          <w:color w:val="E36C0A"/>
          <w:sz w:val="28"/>
          <w:szCs w:val="28"/>
        </w:rPr>
      </w:pPr>
    </w:p>
    <w:p w:rsidR="002F5D23" w:rsidRPr="002221BF" w:rsidRDefault="002F5D23" w:rsidP="009F306F">
      <w:pPr>
        <w:pStyle w:val="NoSpacing"/>
        <w:rPr>
          <w:rFonts w:cs="Arial"/>
          <w:color w:val="E36C0A"/>
          <w:sz w:val="16"/>
          <w:szCs w:val="16"/>
        </w:rPr>
      </w:pPr>
    </w:p>
    <w:p w:rsidR="00122762" w:rsidRDefault="00122762" w:rsidP="009F306F">
      <w:pPr>
        <w:spacing w:line="240" w:lineRule="auto"/>
        <w:rPr>
          <w:rFonts w:cs="Arial"/>
          <w:b/>
          <w:color w:val="E36C0A"/>
          <w:sz w:val="28"/>
          <w:szCs w:val="28"/>
        </w:rPr>
      </w:pPr>
    </w:p>
    <w:p w:rsidR="002F5D23" w:rsidRPr="00CF6544" w:rsidRDefault="002F5D23" w:rsidP="00122762">
      <w:pPr>
        <w:spacing w:before="240" w:line="240" w:lineRule="auto"/>
        <w:rPr>
          <w:rFonts w:cs="Arial"/>
          <w:b/>
          <w:color w:val="E36C0A"/>
          <w:sz w:val="28"/>
          <w:szCs w:val="28"/>
        </w:rPr>
      </w:pPr>
      <w:r w:rsidRPr="00CF6544">
        <w:rPr>
          <w:rFonts w:cs="Arial"/>
          <w:b/>
          <w:color w:val="E36C0A"/>
          <w:sz w:val="28"/>
          <w:szCs w:val="28"/>
        </w:rPr>
        <w:t>GLOSSARY</w:t>
      </w:r>
    </w:p>
    <w:p w:rsidR="002F5D23" w:rsidRDefault="002F5D23" w:rsidP="002221BF">
      <w:pPr>
        <w:pStyle w:val="NoSpacing"/>
      </w:pPr>
      <w:r w:rsidRPr="005612BD">
        <w:rPr>
          <w:b/>
          <w:color w:val="E36C0A"/>
        </w:rPr>
        <w:t>Adult</w:t>
      </w:r>
      <w:r w:rsidR="00905D75" w:rsidRPr="005612BD">
        <w:rPr>
          <w:b/>
          <w:color w:val="E36C0A"/>
        </w:rPr>
        <w:t>:</w:t>
      </w:r>
      <w:r w:rsidR="002221BF">
        <w:rPr>
          <w:color w:val="E36C0A"/>
        </w:rPr>
        <w:t xml:space="preserve">  </w:t>
      </w:r>
      <w:r w:rsidR="00620D09" w:rsidRPr="007C718D">
        <w:t>A</w:t>
      </w:r>
      <w:r w:rsidRPr="007C718D">
        <w:t xml:space="preserve"> person aged 16 or over with impaired capacity.</w:t>
      </w:r>
    </w:p>
    <w:p w:rsidR="002221BF" w:rsidRPr="002221BF" w:rsidRDefault="002221BF" w:rsidP="002221BF">
      <w:pPr>
        <w:pStyle w:val="NoSpacing"/>
        <w:rPr>
          <w:sz w:val="16"/>
          <w:szCs w:val="16"/>
        </w:rPr>
      </w:pPr>
    </w:p>
    <w:p w:rsidR="000868A0" w:rsidRDefault="00620D09" w:rsidP="002221BF">
      <w:pPr>
        <w:pStyle w:val="NoSpacing"/>
      </w:pPr>
      <w:r w:rsidRPr="00853654">
        <w:rPr>
          <w:b/>
          <w:color w:val="E36C0A"/>
        </w:rPr>
        <w:t>Public Guardian</w:t>
      </w:r>
      <w:r w:rsidR="00905D75" w:rsidRPr="00853654">
        <w:rPr>
          <w:b/>
          <w:color w:val="E36C0A"/>
        </w:rPr>
        <w:t>:</w:t>
      </w:r>
      <w:r w:rsidR="002221BF">
        <w:rPr>
          <w:b/>
          <w:color w:val="E36C0A"/>
        </w:rPr>
        <w:t xml:space="preserve"> </w:t>
      </w:r>
      <w:r w:rsidR="002221BF">
        <w:rPr>
          <w:b/>
        </w:rPr>
        <w:t xml:space="preserve"> </w:t>
      </w:r>
      <w:r w:rsidR="00905D75" w:rsidRPr="007C718D">
        <w:t>A</w:t>
      </w:r>
      <w:r w:rsidRPr="007C718D">
        <w:t>n officer of the Scottish Courts and Tribunals Service</w:t>
      </w:r>
      <w:r w:rsidR="00E27C71">
        <w:t xml:space="preserve"> with statutory</w:t>
      </w:r>
      <w:r w:rsidR="002221BF">
        <w:t xml:space="preserve"> </w:t>
      </w:r>
      <w:r w:rsidR="00E27C71">
        <w:t>duties to grant authority under the Adults with Incapacity</w:t>
      </w:r>
      <w:r w:rsidR="005612BD">
        <w:t xml:space="preserve"> </w:t>
      </w:r>
      <w:r w:rsidR="00E27C71">
        <w:t>(Scotland) Act 2000</w:t>
      </w:r>
      <w:r w:rsidRPr="007C718D">
        <w:t xml:space="preserve">. </w:t>
      </w:r>
    </w:p>
    <w:p w:rsidR="002221BF" w:rsidRPr="002221BF" w:rsidRDefault="002221BF" w:rsidP="002221BF">
      <w:pPr>
        <w:pStyle w:val="NoSpacing"/>
        <w:rPr>
          <w:sz w:val="16"/>
          <w:szCs w:val="16"/>
        </w:rPr>
      </w:pPr>
    </w:p>
    <w:p w:rsidR="002161E0" w:rsidRDefault="002161E0" w:rsidP="002221BF">
      <w:pPr>
        <w:pStyle w:val="NoSpacing"/>
      </w:pPr>
      <w:r w:rsidRPr="00853654">
        <w:rPr>
          <w:b/>
          <w:color w:val="E36C0A"/>
        </w:rPr>
        <w:t>Withdrawer</w:t>
      </w:r>
      <w:r w:rsidRPr="00853654">
        <w:rPr>
          <w:color w:val="E36C0A"/>
        </w:rPr>
        <w:t>:</w:t>
      </w:r>
      <w:r w:rsidRPr="007C718D">
        <w:t xml:space="preserve"> </w:t>
      </w:r>
      <w:r>
        <w:t>A</w:t>
      </w:r>
      <w:r w:rsidRPr="007C718D">
        <w:t xml:space="preserve"> person or organisation given authority by the Public Guardian to access the funds of the adult.</w:t>
      </w:r>
    </w:p>
    <w:p w:rsidR="002221BF" w:rsidRPr="002221BF" w:rsidRDefault="002221BF" w:rsidP="002221BF">
      <w:pPr>
        <w:pStyle w:val="NoSpacing"/>
        <w:rPr>
          <w:sz w:val="16"/>
          <w:szCs w:val="16"/>
        </w:rPr>
      </w:pPr>
    </w:p>
    <w:p w:rsidR="002161E0" w:rsidRDefault="002161E0" w:rsidP="002221BF">
      <w:pPr>
        <w:pStyle w:val="NoSpacing"/>
        <w:rPr>
          <w:color w:val="000000"/>
        </w:rPr>
      </w:pPr>
      <w:r w:rsidRPr="00853654">
        <w:rPr>
          <w:b/>
          <w:color w:val="E36C0A"/>
        </w:rPr>
        <w:t>Certificate of authority</w:t>
      </w:r>
      <w:r w:rsidR="002221BF">
        <w:rPr>
          <w:b/>
          <w:color w:val="E36C0A"/>
        </w:rPr>
        <w:t>:</w:t>
      </w:r>
      <w:r w:rsidRPr="00890FC6">
        <w:rPr>
          <w:color w:val="000000"/>
        </w:rPr>
        <w:t xml:space="preserve"> </w:t>
      </w:r>
      <w:r>
        <w:rPr>
          <w:color w:val="000000"/>
        </w:rPr>
        <w:t xml:space="preserve">When the </w:t>
      </w:r>
      <w:r w:rsidRPr="009F306F">
        <w:rPr>
          <w:color w:val="000000"/>
        </w:rPr>
        <w:t xml:space="preserve">Public Guardian has authorised any part of the ATF scheme a certificate of authority </w:t>
      </w:r>
      <w:r w:rsidR="005612BD">
        <w:rPr>
          <w:color w:val="000000"/>
        </w:rPr>
        <w:t xml:space="preserve">is </w:t>
      </w:r>
      <w:r w:rsidRPr="009F306F">
        <w:rPr>
          <w:color w:val="000000"/>
        </w:rPr>
        <w:t xml:space="preserve">issued to </w:t>
      </w:r>
      <w:r>
        <w:rPr>
          <w:color w:val="000000"/>
        </w:rPr>
        <w:t xml:space="preserve">the withdrawer. The withdrawer </w:t>
      </w:r>
      <w:r w:rsidR="005612BD">
        <w:rPr>
          <w:color w:val="000000"/>
        </w:rPr>
        <w:t xml:space="preserve">needs </w:t>
      </w:r>
      <w:r>
        <w:rPr>
          <w:color w:val="000000"/>
        </w:rPr>
        <w:t xml:space="preserve">this </w:t>
      </w:r>
      <w:r w:rsidRPr="009F306F">
        <w:rPr>
          <w:color w:val="000000"/>
        </w:rPr>
        <w:t>in ord</w:t>
      </w:r>
      <w:r>
        <w:rPr>
          <w:color w:val="000000"/>
        </w:rPr>
        <w:t>er to make arrangements with a</w:t>
      </w:r>
      <w:r w:rsidRPr="009F306F">
        <w:rPr>
          <w:color w:val="000000"/>
        </w:rPr>
        <w:t xml:space="preserve"> </w:t>
      </w:r>
      <w:proofErr w:type="spellStart"/>
      <w:r w:rsidRPr="009F306F">
        <w:rPr>
          <w:color w:val="000000"/>
        </w:rPr>
        <w:t>fundholder</w:t>
      </w:r>
      <w:proofErr w:type="spellEnd"/>
      <w:r w:rsidRPr="009F306F">
        <w:rPr>
          <w:color w:val="000000"/>
        </w:rPr>
        <w:t>.</w:t>
      </w:r>
    </w:p>
    <w:p w:rsidR="002221BF" w:rsidRPr="002221BF" w:rsidRDefault="002221BF" w:rsidP="002221BF">
      <w:pPr>
        <w:pStyle w:val="NoSpacing"/>
        <w:rPr>
          <w:b/>
          <w:color w:val="000000"/>
          <w:sz w:val="16"/>
          <w:szCs w:val="16"/>
        </w:rPr>
      </w:pPr>
    </w:p>
    <w:p w:rsidR="002F5D23" w:rsidRDefault="002F5D23" w:rsidP="002221BF">
      <w:pPr>
        <w:pStyle w:val="NoSpacing"/>
      </w:pPr>
      <w:proofErr w:type="spellStart"/>
      <w:r w:rsidRPr="00853654">
        <w:rPr>
          <w:b/>
          <w:color w:val="E36C0A"/>
        </w:rPr>
        <w:t>Fundholder</w:t>
      </w:r>
      <w:proofErr w:type="spellEnd"/>
      <w:r w:rsidR="00905D75" w:rsidRPr="00853654">
        <w:rPr>
          <w:color w:val="E36C0A"/>
        </w:rPr>
        <w:t>:</w:t>
      </w:r>
      <w:r w:rsidR="00905D75" w:rsidRPr="007C718D">
        <w:tab/>
      </w:r>
      <w:r w:rsidR="002221BF">
        <w:t xml:space="preserve"> </w:t>
      </w:r>
      <w:r w:rsidR="000D63D4" w:rsidRPr="007C718D">
        <w:t>The bank or building soc</w:t>
      </w:r>
      <w:r w:rsidR="003B2EB0" w:rsidRPr="007C718D">
        <w:t>iety where the adult has their</w:t>
      </w:r>
      <w:r w:rsidR="000D63D4" w:rsidRPr="007C718D">
        <w:t xml:space="preserve"> current account or where the withdrawer has opened or wishes to open the designated account.</w:t>
      </w:r>
    </w:p>
    <w:p w:rsidR="002221BF" w:rsidRPr="002221BF" w:rsidRDefault="002221BF" w:rsidP="002221BF">
      <w:pPr>
        <w:pStyle w:val="NoSpacing"/>
        <w:rPr>
          <w:sz w:val="16"/>
          <w:szCs w:val="16"/>
        </w:rPr>
      </w:pPr>
    </w:p>
    <w:p w:rsidR="002F5D23" w:rsidRDefault="001571C6" w:rsidP="002221BF">
      <w:pPr>
        <w:pStyle w:val="NoSpacing"/>
      </w:pPr>
      <w:r w:rsidRPr="00853654">
        <w:rPr>
          <w:b/>
          <w:color w:val="E36C0A"/>
        </w:rPr>
        <w:t>Current a</w:t>
      </w:r>
      <w:r w:rsidR="002F5D23" w:rsidRPr="00853654">
        <w:rPr>
          <w:b/>
          <w:color w:val="E36C0A"/>
        </w:rPr>
        <w:t>ccount</w:t>
      </w:r>
      <w:r w:rsidR="00905D75" w:rsidRPr="00853654">
        <w:rPr>
          <w:color w:val="E36C0A"/>
        </w:rPr>
        <w:t>:</w:t>
      </w:r>
      <w:r w:rsidR="005612BD">
        <w:rPr>
          <w:color w:val="E36C0A"/>
        </w:rPr>
        <w:t xml:space="preserve"> </w:t>
      </w:r>
      <w:r w:rsidR="002221BF">
        <w:t xml:space="preserve"> </w:t>
      </w:r>
      <w:r w:rsidR="000D63D4" w:rsidRPr="007C718D">
        <w:t>An account in the adult’s sole name which must be suitable for setting up standing orders/direct debits.</w:t>
      </w:r>
    </w:p>
    <w:p w:rsidR="002221BF" w:rsidRPr="002221BF" w:rsidRDefault="002221BF" w:rsidP="002221BF">
      <w:pPr>
        <w:pStyle w:val="NoSpacing"/>
        <w:rPr>
          <w:sz w:val="16"/>
          <w:szCs w:val="16"/>
        </w:rPr>
      </w:pPr>
    </w:p>
    <w:p w:rsidR="007C718D" w:rsidRDefault="001571C6" w:rsidP="002221BF">
      <w:pPr>
        <w:pStyle w:val="NoSpacing"/>
        <w:rPr>
          <w:color w:val="000000"/>
        </w:rPr>
      </w:pPr>
      <w:r w:rsidRPr="00853654">
        <w:rPr>
          <w:b/>
          <w:color w:val="E36C0A"/>
        </w:rPr>
        <w:t>Designated a</w:t>
      </w:r>
      <w:r w:rsidR="002F5D23" w:rsidRPr="00853654">
        <w:rPr>
          <w:b/>
          <w:color w:val="E36C0A"/>
        </w:rPr>
        <w:t>ccount</w:t>
      </w:r>
      <w:r w:rsidR="00905D75" w:rsidRPr="00853654">
        <w:rPr>
          <w:color w:val="E36C0A"/>
        </w:rPr>
        <w:t>:</w:t>
      </w:r>
      <w:r w:rsidR="002221BF">
        <w:rPr>
          <w:color w:val="E36C0A"/>
        </w:rPr>
        <w:t xml:space="preserve"> </w:t>
      </w:r>
      <w:r w:rsidR="005612BD">
        <w:rPr>
          <w:color w:val="E36C0A"/>
        </w:rPr>
        <w:t xml:space="preserve"> </w:t>
      </w:r>
      <w:r w:rsidR="000D63D4" w:rsidRPr="009F306F">
        <w:rPr>
          <w:color w:val="000000"/>
        </w:rPr>
        <w:t>An account opened by the withdrawer(s) for the purpose of receiving an agreed amount of funds transferred from t</w:t>
      </w:r>
      <w:r w:rsidR="000868A0" w:rsidRPr="009F306F">
        <w:rPr>
          <w:color w:val="000000"/>
        </w:rPr>
        <w:t>he adult’s current account. The withdrawer may only intromit with the funds in this account.</w:t>
      </w:r>
    </w:p>
    <w:p w:rsidR="002221BF" w:rsidRPr="00B736A8" w:rsidRDefault="002221BF" w:rsidP="002221BF">
      <w:pPr>
        <w:pStyle w:val="NoSpacing"/>
        <w:rPr>
          <w:b/>
          <w:color w:val="E36C0A"/>
          <w:sz w:val="16"/>
          <w:szCs w:val="16"/>
        </w:rPr>
      </w:pPr>
    </w:p>
    <w:p w:rsidR="00C02457" w:rsidRPr="00B736A8" w:rsidRDefault="000868A0" w:rsidP="002221BF">
      <w:pPr>
        <w:pStyle w:val="NoSpacing"/>
        <w:rPr>
          <w:b/>
          <w:color w:val="E36C0A"/>
        </w:rPr>
      </w:pPr>
      <w:r w:rsidRPr="00B736A8">
        <w:rPr>
          <w:b/>
          <w:color w:val="E36C0A"/>
        </w:rPr>
        <w:t>What is the access to f</w:t>
      </w:r>
      <w:r w:rsidR="00C02457" w:rsidRPr="00B736A8">
        <w:rPr>
          <w:b/>
          <w:color w:val="E36C0A"/>
        </w:rPr>
        <w:t>unds (ATF) scheme?</w:t>
      </w:r>
    </w:p>
    <w:p w:rsidR="002221BF" w:rsidRPr="002221BF" w:rsidRDefault="002221BF" w:rsidP="002221BF">
      <w:pPr>
        <w:pStyle w:val="NoSpacing"/>
        <w:rPr>
          <w:sz w:val="16"/>
          <w:szCs w:val="16"/>
        </w:rPr>
      </w:pPr>
    </w:p>
    <w:p w:rsidR="00C02457" w:rsidRDefault="00C02457" w:rsidP="002221BF">
      <w:pPr>
        <w:pStyle w:val="NoSpacing"/>
        <w:rPr>
          <w:color w:val="000000"/>
          <w:szCs w:val="24"/>
        </w:rPr>
      </w:pPr>
      <w:r w:rsidRPr="009F306F">
        <w:rPr>
          <w:color w:val="000000"/>
          <w:szCs w:val="24"/>
        </w:rPr>
        <w:t xml:space="preserve">An adult may be unable to manage their affairs due to an illness or an accident.  The ATF scheme is designed to </w:t>
      </w:r>
      <w:r w:rsidR="000868A0" w:rsidRPr="009F306F">
        <w:rPr>
          <w:color w:val="000000"/>
          <w:szCs w:val="24"/>
        </w:rPr>
        <w:t xml:space="preserve">give </w:t>
      </w:r>
      <w:r w:rsidRPr="009F306F">
        <w:rPr>
          <w:color w:val="000000"/>
          <w:szCs w:val="24"/>
        </w:rPr>
        <w:t>access to the funds of an adult held in a bank or building society, where there is no continuing attorney, financial int</w:t>
      </w:r>
      <w:r w:rsidR="00905D75" w:rsidRPr="009F306F">
        <w:rPr>
          <w:color w:val="000000"/>
          <w:szCs w:val="24"/>
        </w:rPr>
        <w:t>ervener of financial guardian in place</w:t>
      </w:r>
      <w:r w:rsidRPr="009F306F">
        <w:rPr>
          <w:color w:val="000000"/>
          <w:szCs w:val="24"/>
        </w:rPr>
        <w:t>.</w:t>
      </w:r>
    </w:p>
    <w:p w:rsidR="002221BF" w:rsidRPr="002221BF" w:rsidRDefault="002221BF" w:rsidP="002221BF">
      <w:pPr>
        <w:pStyle w:val="NoSpacing"/>
        <w:rPr>
          <w:color w:val="000000"/>
          <w:sz w:val="16"/>
          <w:szCs w:val="16"/>
        </w:rPr>
      </w:pPr>
    </w:p>
    <w:p w:rsidR="00C02457" w:rsidRPr="002221BF" w:rsidRDefault="000868A0" w:rsidP="009F306F">
      <w:pPr>
        <w:spacing w:line="240" w:lineRule="auto"/>
        <w:rPr>
          <w:rFonts w:cs="Arial"/>
          <w:b/>
          <w:color w:val="E36C0A"/>
          <w:szCs w:val="24"/>
        </w:rPr>
      </w:pPr>
      <w:r w:rsidRPr="002221BF">
        <w:rPr>
          <w:rFonts w:cs="Arial"/>
          <w:b/>
          <w:color w:val="E36C0A"/>
          <w:szCs w:val="24"/>
        </w:rPr>
        <w:t>What is our role</w:t>
      </w:r>
      <w:r w:rsidR="00C02457" w:rsidRPr="002221BF">
        <w:rPr>
          <w:rFonts w:cs="Arial"/>
          <w:b/>
          <w:color w:val="E36C0A"/>
          <w:szCs w:val="24"/>
        </w:rPr>
        <w:t>?</w:t>
      </w:r>
    </w:p>
    <w:p w:rsidR="00BE7378" w:rsidRDefault="000868A0" w:rsidP="002221BF">
      <w:pPr>
        <w:pStyle w:val="NoSpacing"/>
      </w:pPr>
      <w:r w:rsidRPr="009F306F">
        <w:t>The Public Guardian has been given statutory duties under the terms of the Adults with Incapacity (Scotland) Act 2000 to grant authority under the access to funds scheme</w:t>
      </w:r>
      <w:r w:rsidR="00BE7378">
        <w:t xml:space="preserve">. </w:t>
      </w:r>
      <w:r w:rsidRPr="009F306F">
        <w:t>We also:</w:t>
      </w:r>
      <w:r w:rsidR="00BE7378" w:rsidRPr="00BE7378">
        <w:t xml:space="preserve"> </w:t>
      </w:r>
    </w:p>
    <w:p w:rsidR="002221BF" w:rsidRPr="002221BF" w:rsidRDefault="002221BF" w:rsidP="002221BF">
      <w:pPr>
        <w:pStyle w:val="NoSpacing"/>
        <w:rPr>
          <w:sz w:val="16"/>
          <w:szCs w:val="16"/>
        </w:rPr>
      </w:pPr>
    </w:p>
    <w:p w:rsidR="00BE7378" w:rsidRPr="00BE7378" w:rsidRDefault="00BE7378" w:rsidP="002221BF">
      <w:pPr>
        <w:pStyle w:val="NoSpacing"/>
        <w:numPr>
          <w:ilvl w:val="0"/>
          <w:numId w:val="14"/>
        </w:numPr>
        <w:rPr>
          <w:b/>
          <w:color w:val="E36C0A"/>
        </w:rPr>
      </w:pPr>
      <w:r>
        <w:t xml:space="preserve">supervise </w:t>
      </w:r>
      <w:r w:rsidRPr="009F306F">
        <w:t xml:space="preserve">withdrawers </w:t>
      </w:r>
    </w:p>
    <w:p w:rsidR="00C02457" w:rsidRPr="00BE7378" w:rsidRDefault="00C02457" w:rsidP="002221BF">
      <w:pPr>
        <w:pStyle w:val="NoSpacing"/>
        <w:numPr>
          <w:ilvl w:val="0"/>
          <w:numId w:val="14"/>
        </w:numPr>
        <w:rPr>
          <w:b/>
          <w:color w:val="E36C0A"/>
        </w:rPr>
      </w:pPr>
      <w:r w:rsidRPr="00BE7378">
        <w:t>provide advice and guidance;</w:t>
      </w:r>
      <w:r w:rsidR="00BE7378">
        <w:t xml:space="preserve"> and</w:t>
      </w:r>
    </w:p>
    <w:p w:rsidR="00C02457" w:rsidRPr="009F306F" w:rsidRDefault="00C02457" w:rsidP="002221BF">
      <w:pPr>
        <w:pStyle w:val="NoSpacing"/>
        <w:numPr>
          <w:ilvl w:val="0"/>
          <w:numId w:val="14"/>
        </w:numPr>
      </w:pPr>
      <w:proofErr w:type="gramStart"/>
      <w:r w:rsidRPr="009F306F">
        <w:t>maintain</w:t>
      </w:r>
      <w:proofErr w:type="gramEnd"/>
      <w:r w:rsidRPr="009F306F">
        <w:t xml:space="preserve"> a register of persons appointed.</w:t>
      </w:r>
    </w:p>
    <w:p w:rsidR="00C11905" w:rsidRPr="006C213D" w:rsidRDefault="00C11905" w:rsidP="009F306F">
      <w:pPr>
        <w:pStyle w:val="NoSpacing"/>
        <w:ind w:left="360"/>
        <w:rPr>
          <w:rFonts w:cs="Arial"/>
          <w:sz w:val="16"/>
          <w:szCs w:val="16"/>
        </w:rPr>
      </w:pPr>
    </w:p>
    <w:p w:rsidR="001654C9" w:rsidRPr="002221BF" w:rsidRDefault="001654C9" w:rsidP="009F306F">
      <w:pPr>
        <w:spacing w:line="240" w:lineRule="auto"/>
        <w:rPr>
          <w:rFonts w:cs="Arial"/>
          <w:b/>
          <w:color w:val="E36C0A"/>
          <w:szCs w:val="24"/>
        </w:rPr>
      </w:pPr>
      <w:r w:rsidRPr="002221BF">
        <w:rPr>
          <w:rFonts w:cs="Arial"/>
          <w:b/>
          <w:color w:val="E36C0A"/>
          <w:szCs w:val="24"/>
        </w:rPr>
        <w:t xml:space="preserve">How does </w:t>
      </w:r>
      <w:r w:rsidR="000868A0" w:rsidRPr="002221BF">
        <w:rPr>
          <w:rFonts w:cs="Arial"/>
          <w:b/>
          <w:color w:val="E36C0A"/>
          <w:szCs w:val="24"/>
        </w:rPr>
        <w:t xml:space="preserve">the </w:t>
      </w:r>
      <w:r w:rsidRPr="002221BF">
        <w:rPr>
          <w:rFonts w:cs="Arial"/>
          <w:b/>
          <w:color w:val="E36C0A"/>
          <w:szCs w:val="24"/>
        </w:rPr>
        <w:t xml:space="preserve">ATF </w:t>
      </w:r>
      <w:r w:rsidR="000868A0" w:rsidRPr="002221BF">
        <w:rPr>
          <w:rFonts w:cs="Arial"/>
          <w:b/>
          <w:color w:val="E36C0A"/>
          <w:szCs w:val="24"/>
        </w:rPr>
        <w:t xml:space="preserve">scheme </w:t>
      </w:r>
      <w:r w:rsidRPr="002221BF">
        <w:rPr>
          <w:rFonts w:cs="Arial"/>
          <w:b/>
          <w:color w:val="E36C0A"/>
          <w:szCs w:val="24"/>
        </w:rPr>
        <w:t>work?</w:t>
      </w:r>
    </w:p>
    <w:p w:rsidR="009F306F" w:rsidRDefault="001654C9" w:rsidP="009F306F">
      <w:pPr>
        <w:spacing w:line="240" w:lineRule="auto"/>
        <w:rPr>
          <w:rFonts w:cs="Arial"/>
          <w:b/>
          <w:color w:val="000000"/>
          <w:szCs w:val="24"/>
        </w:rPr>
      </w:pPr>
      <w:r w:rsidRPr="009F306F">
        <w:rPr>
          <w:rFonts w:cs="Arial"/>
          <w:color w:val="000000"/>
          <w:szCs w:val="24"/>
        </w:rPr>
        <w:t xml:space="preserve">The adult must have an account in </w:t>
      </w:r>
      <w:r w:rsidR="00C11905" w:rsidRPr="009F306F">
        <w:rPr>
          <w:rFonts w:cs="Arial"/>
          <w:color w:val="000000"/>
          <w:szCs w:val="24"/>
        </w:rPr>
        <w:t xml:space="preserve">their </w:t>
      </w:r>
      <w:r w:rsidRPr="009F306F">
        <w:rPr>
          <w:rFonts w:cs="Arial"/>
          <w:color w:val="000000"/>
          <w:szCs w:val="24"/>
        </w:rPr>
        <w:t>sole name with a fundholder.  Where no suitable account exists the withdrawer must have authority from the Public Guardian to open an account in the sole name of the adult.  This will be known as the current account.</w:t>
      </w:r>
      <w:r w:rsidR="00CD15A6" w:rsidRPr="009F306F">
        <w:rPr>
          <w:rFonts w:cs="Arial"/>
          <w:color w:val="000000"/>
          <w:szCs w:val="24"/>
        </w:rPr>
        <w:t xml:space="preserve"> </w:t>
      </w:r>
      <w:r w:rsidR="001E397C" w:rsidRPr="009F306F">
        <w:rPr>
          <w:rFonts w:cs="Arial"/>
          <w:color w:val="000000"/>
          <w:szCs w:val="24"/>
        </w:rPr>
        <w:t xml:space="preserve"> </w:t>
      </w:r>
      <w:r w:rsidR="00331B89" w:rsidRPr="009F306F">
        <w:rPr>
          <w:rFonts w:cs="Arial"/>
          <w:b/>
          <w:color w:val="000000"/>
          <w:szCs w:val="24"/>
        </w:rPr>
        <w:t>The withdrawer must not be given direct access to any account other than the designated account.</w:t>
      </w:r>
    </w:p>
    <w:p w:rsidR="00122762" w:rsidRDefault="0032686C" w:rsidP="00122762">
      <w:pPr>
        <w:spacing w:before="240" w:line="240" w:lineRule="auto"/>
        <w:rPr>
          <w:b/>
          <w:color w:val="E36C0A"/>
        </w:rPr>
      </w:pPr>
      <w:r>
        <w:rPr>
          <w:rFonts w:cs="Arial"/>
          <w:noProof/>
          <w:color w:val="000000"/>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570230</wp:posOffset>
                </wp:positionH>
                <wp:positionV relativeFrom="paragraph">
                  <wp:posOffset>-479425</wp:posOffset>
                </wp:positionV>
                <wp:extent cx="5284470" cy="607060"/>
                <wp:effectExtent l="17780" t="15875"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4470" cy="607060"/>
                        </a:xfrm>
                        <a:prstGeom prst="roundRect">
                          <a:avLst>
                            <a:gd name="adj" fmla="val 16667"/>
                          </a:avLst>
                        </a:prstGeom>
                        <a:solidFill>
                          <a:srgbClr val="FBD4B4"/>
                        </a:solidFill>
                        <a:ln w="19050" algn="ctr">
                          <a:solidFill>
                            <a:srgbClr val="E36C0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7E57" w:rsidRPr="00DA65AE" w:rsidRDefault="00717E57" w:rsidP="00717E57">
                            <w:pPr>
                              <w:jc w:val="center"/>
                              <w:rPr>
                                <w:b/>
                                <w:color w:val="000000"/>
                                <w:sz w:val="28"/>
                                <w:szCs w:val="28"/>
                              </w:rPr>
                            </w:pPr>
                            <w:r w:rsidRPr="00DA65AE">
                              <w:rPr>
                                <w:b/>
                                <w:color w:val="000000"/>
                                <w:sz w:val="28"/>
                                <w:szCs w:val="28"/>
                              </w:rPr>
                              <w:t>The fundholder must only perform the instructions as specifically identified in the certificate.</w:t>
                            </w:r>
                          </w:p>
                          <w:p w:rsidR="00717E57" w:rsidRDefault="00717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44.9pt;margin-top:-37.75pt;width:416.1pt;height:4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" fillcolor="#fbd4b4" strokecolor="#e36c0a" strokeweight="1.5pt">
                <v:shadow color="#868686"/>
                <v:textbox>
                  <w:txbxContent>
                    <w:p w:rsidR="00717E57" w:rsidRPr="00DA65AE" w:rsidRDefault="00717E57" w:rsidP="00717E57">
                      <w:pPr>
                        <w:jc w:val="center"/>
                        <w:rPr>
                          <w:b/>
                          <w:color w:val="000000"/>
                          <w:sz w:val="28"/>
                          <w:szCs w:val="28"/>
                        </w:rPr>
                      </w:pPr>
                      <w:r w:rsidRPr="00DA65AE">
                        <w:rPr>
                          <w:b/>
                          <w:color w:val="000000"/>
                          <w:sz w:val="28"/>
                          <w:szCs w:val="28"/>
                        </w:rPr>
                        <w:t>The fundholder must only perform the instructions as specifically identified in the certificate.</w:t>
                      </w:r>
                    </w:p>
                    <w:p w:rsidR="00717E57" w:rsidRDefault="00717E57"/>
                  </w:txbxContent>
                </v:textbox>
              </v:roundrect>
            </w:pict>
          </mc:Fallback>
        </mc:AlternateContent>
      </w:r>
    </w:p>
    <w:p w:rsidR="00935028" w:rsidRPr="00B736A8" w:rsidRDefault="00935028" w:rsidP="00122762">
      <w:pPr>
        <w:spacing w:before="240" w:line="240" w:lineRule="auto"/>
        <w:rPr>
          <w:b/>
          <w:color w:val="E36C0A"/>
        </w:rPr>
      </w:pPr>
      <w:r w:rsidRPr="00B736A8">
        <w:rPr>
          <w:b/>
          <w:color w:val="E36C0A"/>
        </w:rPr>
        <w:t xml:space="preserve">What should the </w:t>
      </w:r>
      <w:proofErr w:type="spellStart"/>
      <w:r w:rsidRPr="00B736A8">
        <w:rPr>
          <w:b/>
          <w:color w:val="E36C0A"/>
        </w:rPr>
        <w:t>fundholder</w:t>
      </w:r>
      <w:proofErr w:type="spellEnd"/>
      <w:r w:rsidRPr="00B736A8">
        <w:rPr>
          <w:b/>
          <w:color w:val="E36C0A"/>
        </w:rPr>
        <w:t xml:space="preserve"> of the adult’s account do?</w:t>
      </w:r>
    </w:p>
    <w:p w:rsidR="00935028" w:rsidRPr="009F306F" w:rsidRDefault="00057864" w:rsidP="006C213D">
      <w:pPr>
        <w:pStyle w:val="NoSpacing"/>
        <w:numPr>
          <w:ilvl w:val="0"/>
          <w:numId w:val="15"/>
        </w:numPr>
      </w:pPr>
      <w:r w:rsidRPr="009F306F">
        <w:t xml:space="preserve">Always </w:t>
      </w:r>
      <w:r w:rsidR="00935028" w:rsidRPr="009F306F">
        <w:t>ask to see the certificate;</w:t>
      </w:r>
    </w:p>
    <w:p w:rsidR="00935028" w:rsidRPr="009F306F" w:rsidRDefault="00057864" w:rsidP="006C213D">
      <w:pPr>
        <w:pStyle w:val="NoSpacing"/>
        <w:numPr>
          <w:ilvl w:val="0"/>
          <w:numId w:val="15"/>
        </w:numPr>
      </w:pPr>
      <w:r w:rsidRPr="009F306F">
        <w:t>C</w:t>
      </w:r>
      <w:r w:rsidR="00935028" w:rsidRPr="009F306F">
        <w:t>arefully note the date of expiry as this is when authority ceases;</w:t>
      </w:r>
    </w:p>
    <w:p w:rsidR="00935028" w:rsidRPr="009F306F" w:rsidRDefault="00FD61DB" w:rsidP="006C213D">
      <w:pPr>
        <w:pStyle w:val="NoSpacing"/>
        <w:numPr>
          <w:ilvl w:val="0"/>
          <w:numId w:val="15"/>
        </w:numPr>
      </w:pPr>
      <w:r>
        <w:t>O</w:t>
      </w:r>
      <w:r w:rsidR="00935028" w:rsidRPr="009F306F">
        <w:t>nly put in place arrangements which are identified in the certificate;</w:t>
      </w:r>
    </w:p>
    <w:p w:rsidR="00935028" w:rsidRPr="009F306F" w:rsidRDefault="00FD61DB" w:rsidP="006C213D">
      <w:pPr>
        <w:pStyle w:val="NoSpacing"/>
        <w:numPr>
          <w:ilvl w:val="0"/>
          <w:numId w:val="15"/>
        </w:numPr>
      </w:pPr>
      <w:r>
        <w:t xml:space="preserve">Allow credit transactions to </w:t>
      </w:r>
      <w:r w:rsidR="00935028" w:rsidRPr="009F306F">
        <w:t>continue;</w:t>
      </w:r>
    </w:p>
    <w:p w:rsidR="00935028" w:rsidRPr="009F306F" w:rsidRDefault="00FD61DB" w:rsidP="006C213D">
      <w:pPr>
        <w:pStyle w:val="NoSpacing"/>
        <w:numPr>
          <w:ilvl w:val="0"/>
          <w:numId w:val="15"/>
        </w:numPr>
      </w:pPr>
      <w:r>
        <w:t xml:space="preserve">Terminate any </w:t>
      </w:r>
      <w:r w:rsidR="00935028" w:rsidRPr="009F306F">
        <w:t xml:space="preserve">standing orders/direct debits previously arranged on the adult’s account, unless </w:t>
      </w:r>
      <w:r>
        <w:t xml:space="preserve">it is </w:t>
      </w:r>
      <w:r w:rsidR="00935028" w:rsidRPr="009F306F">
        <w:t>detailed on the certificate that they should continue.</w:t>
      </w:r>
    </w:p>
    <w:p w:rsidR="00810964" w:rsidRPr="006C213D" w:rsidRDefault="00810964" w:rsidP="009F306F">
      <w:pPr>
        <w:autoSpaceDE w:val="0"/>
        <w:autoSpaceDN w:val="0"/>
        <w:adjustRightInd w:val="0"/>
        <w:spacing w:after="0" w:line="240" w:lineRule="auto"/>
        <w:rPr>
          <w:rFonts w:cs="Arial"/>
          <w:color w:val="E36C0A"/>
          <w:sz w:val="16"/>
          <w:szCs w:val="16"/>
        </w:rPr>
      </w:pPr>
    </w:p>
    <w:p w:rsidR="00810964" w:rsidRPr="006C213D" w:rsidRDefault="00810964" w:rsidP="009F306F">
      <w:pPr>
        <w:autoSpaceDE w:val="0"/>
        <w:autoSpaceDN w:val="0"/>
        <w:adjustRightInd w:val="0"/>
        <w:spacing w:after="0" w:line="240" w:lineRule="auto"/>
        <w:rPr>
          <w:rFonts w:cs="Arial"/>
          <w:b/>
          <w:color w:val="E36C0A"/>
          <w:szCs w:val="24"/>
        </w:rPr>
      </w:pPr>
      <w:r w:rsidRPr="006C213D">
        <w:rPr>
          <w:rFonts w:cs="Arial"/>
          <w:b/>
          <w:color w:val="E36C0A"/>
          <w:szCs w:val="24"/>
        </w:rPr>
        <w:t>What should the fundholder of the designated account do?</w:t>
      </w:r>
    </w:p>
    <w:p w:rsidR="00810964" w:rsidRPr="006C213D" w:rsidRDefault="00810964" w:rsidP="009F306F">
      <w:pPr>
        <w:autoSpaceDE w:val="0"/>
        <w:autoSpaceDN w:val="0"/>
        <w:adjustRightInd w:val="0"/>
        <w:spacing w:after="0" w:line="240" w:lineRule="auto"/>
        <w:rPr>
          <w:rFonts w:cs="Arial"/>
          <w:color w:val="E36C0A"/>
          <w:sz w:val="16"/>
          <w:szCs w:val="16"/>
        </w:rPr>
      </w:pPr>
    </w:p>
    <w:p w:rsidR="00FD61DB" w:rsidRDefault="00576FD5" w:rsidP="00FD61DB">
      <w:pPr>
        <w:numPr>
          <w:ilvl w:val="0"/>
          <w:numId w:val="11"/>
        </w:numPr>
        <w:autoSpaceDE w:val="0"/>
        <w:autoSpaceDN w:val="0"/>
        <w:adjustRightInd w:val="0"/>
        <w:spacing w:after="0" w:line="240" w:lineRule="auto"/>
        <w:rPr>
          <w:rFonts w:cs="Arial"/>
          <w:szCs w:val="24"/>
        </w:rPr>
      </w:pPr>
      <w:r w:rsidRPr="009F306F">
        <w:rPr>
          <w:rFonts w:cs="Arial"/>
          <w:szCs w:val="24"/>
        </w:rPr>
        <w:t>S</w:t>
      </w:r>
      <w:r w:rsidR="00810964" w:rsidRPr="009F306F">
        <w:rPr>
          <w:rFonts w:cs="Arial"/>
          <w:szCs w:val="24"/>
        </w:rPr>
        <w:t xml:space="preserve">et up </w:t>
      </w:r>
      <w:r w:rsidRPr="009F306F">
        <w:rPr>
          <w:rFonts w:cs="Arial"/>
          <w:szCs w:val="24"/>
        </w:rPr>
        <w:t>the</w:t>
      </w:r>
      <w:r w:rsidR="000222ED" w:rsidRPr="009F306F">
        <w:rPr>
          <w:rFonts w:cs="Arial"/>
          <w:szCs w:val="24"/>
        </w:rPr>
        <w:t xml:space="preserve"> designated</w:t>
      </w:r>
      <w:r w:rsidRPr="009F306F">
        <w:rPr>
          <w:rFonts w:cs="Arial"/>
          <w:szCs w:val="24"/>
        </w:rPr>
        <w:t xml:space="preserve"> account </w:t>
      </w:r>
      <w:r w:rsidR="00810964" w:rsidRPr="009F306F">
        <w:rPr>
          <w:rFonts w:cs="Arial"/>
          <w:szCs w:val="24"/>
        </w:rPr>
        <w:t>as per the instruction on the certificate, i.e. in the withdrawer</w:t>
      </w:r>
      <w:r w:rsidR="00FD61DB">
        <w:rPr>
          <w:rFonts w:cs="Arial"/>
          <w:szCs w:val="24"/>
        </w:rPr>
        <w:t>’s</w:t>
      </w:r>
      <w:r w:rsidRPr="009F306F">
        <w:rPr>
          <w:rFonts w:cs="Arial"/>
          <w:szCs w:val="24"/>
        </w:rPr>
        <w:t xml:space="preserve"> name on behalf of the adult. </w:t>
      </w:r>
      <w:r w:rsidR="00FD61DB">
        <w:rPr>
          <w:rFonts w:cs="Arial"/>
          <w:szCs w:val="24"/>
        </w:rPr>
        <w:t>You should note that t</w:t>
      </w:r>
      <w:r w:rsidRPr="009F306F">
        <w:rPr>
          <w:rFonts w:cs="Arial"/>
          <w:szCs w:val="24"/>
        </w:rPr>
        <w:t>he funds</w:t>
      </w:r>
      <w:r w:rsidR="00810964" w:rsidRPr="009F306F">
        <w:rPr>
          <w:rFonts w:cs="Arial"/>
          <w:szCs w:val="24"/>
        </w:rPr>
        <w:t xml:space="preserve"> belong to the adult, even though the withdra</w:t>
      </w:r>
      <w:r w:rsidR="00FD61DB">
        <w:rPr>
          <w:rFonts w:cs="Arial"/>
          <w:szCs w:val="24"/>
        </w:rPr>
        <w:t>wer’s</w:t>
      </w:r>
      <w:r w:rsidR="00066585" w:rsidRPr="009F306F">
        <w:rPr>
          <w:rFonts w:cs="Arial"/>
          <w:szCs w:val="24"/>
        </w:rPr>
        <w:t xml:space="preserve"> name is</w:t>
      </w:r>
      <w:r w:rsidR="009F306F" w:rsidRPr="009F306F">
        <w:rPr>
          <w:rFonts w:cs="Arial"/>
          <w:szCs w:val="24"/>
        </w:rPr>
        <w:t xml:space="preserve"> on the account. </w:t>
      </w:r>
    </w:p>
    <w:p w:rsidR="00FD61DB" w:rsidRPr="006C213D" w:rsidRDefault="00FD61DB" w:rsidP="00FD61DB">
      <w:pPr>
        <w:autoSpaceDE w:val="0"/>
        <w:autoSpaceDN w:val="0"/>
        <w:adjustRightInd w:val="0"/>
        <w:spacing w:after="0" w:line="240" w:lineRule="auto"/>
        <w:ind w:left="720"/>
        <w:rPr>
          <w:rFonts w:cs="Arial"/>
          <w:sz w:val="16"/>
          <w:szCs w:val="16"/>
        </w:rPr>
      </w:pPr>
    </w:p>
    <w:p w:rsidR="009F306F" w:rsidRPr="00890FC6" w:rsidRDefault="00FD61DB" w:rsidP="00717E57">
      <w:pPr>
        <w:autoSpaceDE w:val="0"/>
        <w:autoSpaceDN w:val="0"/>
        <w:adjustRightInd w:val="0"/>
        <w:spacing w:after="0" w:line="240" w:lineRule="auto"/>
        <w:ind w:left="720"/>
        <w:rPr>
          <w:rFonts w:cs="Arial"/>
          <w:b/>
          <w:szCs w:val="24"/>
        </w:rPr>
      </w:pPr>
      <w:r w:rsidRPr="00890FC6">
        <w:rPr>
          <w:rFonts w:cs="Arial"/>
          <w:b/>
          <w:szCs w:val="24"/>
        </w:rPr>
        <w:t>Note that t</w:t>
      </w:r>
      <w:r w:rsidR="0041515E" w:rsidRPr="00890FC6">
        <w:rPr>
          <w:rFonts w:cs="Arial"/>
          <w:b/>
          <w:szCs w:val="24"/>
        </w:rPr>
        <w:t xml:space="preserve">he </w:t>
      </w:r>
      <w:r w:rsidR="009F306F" w:rsidRPr="00890FC6">
        <w:rPr>
          <w:rFonts w:cs="Arial"/>
          <w:b/>
          <w:szCs w:val="24"/>
        </w:rPr>
        <w:t xml:space="preserve">designated </w:t>
      </w:r>
      <w:r w:rsidR="0041515E" w:rsidRPr="00890FC6">
        <w:rPr>
          <w:rFonts w:cs="Arial"/>
          <w:b/>
          <w:szCs w:val="24"/>
        </w:rPr>
        <w:t>account</w:t>
      </w:r>
      <w:r w:rsidR="009F306F" w:rsidRPr="00890FC6">
        <w:rPr>
          <w:rFonts w:cs="Arial"/>
          <w:b/>
          <w:szCs w:val="24"/>
        </w:rPr>
        <w:t>:</w:t>
      </w:r>
      <w:r w:rsidR="0041515E" w:rsidRPr="00890FC6">
        <w:rPr>
          <w:rFonts w:cs="Arial"/>
          <w:b/>
          <w:szCs w:val="24"/>
        </w:rPr>
        <w:t xml:space="preserve"> </w:t>
      </w:r>
    </w:p>
    <w:p w:rsidR="00810964" w:rsidRPr="009F306F" w:rsidRDefault="0041515E" w:rsidP="00717E57">
      <w:pPr>
        <w:numPr>
          <w:ilvl w:val="0"/>
          <w:numId w:val="16"/>
        </w:numPr>
        <w:autoSpaceDE w:val="0"/>
        <w:autoSpaceDN w:val="0"/>
        <w:adjustRightInd w:val="0"/>
        <w:spacing w:after="0" w:line="240" w:lineRule="auto"/>
        <w:rPr>
          <w:rFonts w:cs="Arial"/>
          <w:szCs w:val="24"/>
        </w:rPr>
      </w:pPr>
      <w:r w:rsidRPr="009F306F">
        <w:rPr>
          <w:rFonts w:cs="Arial"/>
          <w:szCs w:val="24"/>
        </w:rPr>
        <w:t>c</w:t>
      </w:r>
      <w:r w:rsidR="00810964" w:rsidRPr="009F306F">
        <w:rPr>
          <w:rFonts w:cs="Arial"/>
          <w:szCs w:val="24"/>
        </w:rPr>
        <w:t>annot receive any funds other than those specified on the certificate;</w:t>
      </w:r>
    </w:p>
    <w:p w:rsidR="00810964" w:rsidRPr="009F306F" w:rsidRDefault="009F306F" w:rsidP="00717E57">
      <w:pPr>
        <w:numPr>
          <w:ilvl w:val="0"/>
          <w:numId w:val="16"/>
        </w:numPr>
        <w:autoSpaceDE w:val="0"/>
        <w:autoSpaceDN w:val="0"/>
        <w:adjustRightInd w:val="0"/>
        <w:spacing w:after="0" w:line="240" w:lineRule="auto"/>
        <w:rPr>
          <w:rFonts w:cs="Arial"/>
          <w:szCs w:val="24"/>
        </w:rPr>
      </w:pPr>
      <w:r w:rsidRPr="009F306F">
        <w:rPr>
          <w:rFonts w:cs="Arial"/>
          <w:szCs w:val="24"/>
        </w:rPr>
        <w:t>c</w:t>
      </w:r>
      <w:r w:rsidR="00810964" w:rsidRPr="009F306F">
        <w:rPr>
          <w:rFonts w:cs="Arial"/>
          <w:szCs w:val="24"/>
        </w:rPr>
        <w:t>an only be operated by the withdrawer;</w:t>
      </w:r>
    </w:p>
    <w:p w:rsidR="00810964" w:rsidRDefault="00717E57" w:rsidP="00717E57">
      <w:pPr>
        <w:numPr>
          <w:ilvl w:val="0"/>
          <w:numId w:val="16"/>
        </w:numPr>
        <w:autoSpaceDE w:val="0"/>
        <w:autoSpaceDN w:val="0"/>
        <w:adjustRightInd w:val="0"/>
        <w:spacing w:after="0" w:line="240" w:lineRule="auto"/>
        <w:rPr>
          <w:rFonts w:cs="Arial"/>
          <w:szCs w:val="24"/>
        </w:rPr>
      </w:pPr>
      <w:proofErr w:type="gramStart"/>
      <w:r>
        <w:rPr>
          <w:rFonts w:cs="Arial"/>
          <w:szCs w:val="24"/>
        </w:rPr>
        <w:t>is</w:t>
      </w:r>
      <w:proofErr w:type="gramEnd"/>
      <w:r w:rsidR="00810964" w:rsidRPr="009F306F">
        <w:rPr>
          <w:rFonts w:cs="Arial"/>
          <w:szCs w:val="24"/>
        </w:rPr>
        <w:t xml:space="preserve"> not permitted to become overdrawn.</w:t>
      </w:r>
    </w:p>
    <w:p w:rsidR="00FD61DB" w:rsidRPr="006C213D" w:rsidRDefault="00FD61DB" w:rsidP="00FD61DB">
      <w:pPr>
        <w:autoSpaceDE w:val="0"/>
        <w:autoSpaceDN w:val="0"/>
        <w:adjustRightInd w:val="0"/>
        <w:spacing w:after="0" w:line="240" w:lineRule="auto"/>
        <w:ind w:left="360"/>
        <w:rPr>
          <w:rFonts w:cs="Arial"/>
          <w:sz w:val="16"/>
          <w:szCs w:val="16"/>
        </w:rPr>
      </w:pPr>
    </w:p>
    <w:p w:rsidR="00FD61DB" w:rsidRPr="006C213D" w:rsidRDefault="004C3E64" w:rsidP="00FD61DB">
      <w:pPr>
        <w:spacing w:line="240" w:lineRule="auto"/>
        <w:rPr>
          <w:rFonts w:cs="Arial"/>
          <w:b/>
          <w:color w:val="E36C0A"/>
          <w:szCs w:val="24"/>
        </w:rPr>
      </w:pPr>
      <w:r w:rsidRPr="006C213D">
        <w:rPr>
          <w:rFonts w:cs="Arial"/>
          <w:b/>
          <w:color w:val="E36C0A"/>
          <w:szCs w:val="24"/>
        </w:rPr>
        <w:t>Accounts</w:t>
      </w:r>
      <w:r w:rsidR="00FD61DB" w:rsidRPr="006C213D">
        <w:rPr>
          <w:rFonts w:cs="Arial"/>
          <w:b/>
          <w:color w:val="E36C0A"/>
          <w:szCs w:val="24"/>
        </w:rPr>
        <w:t xml:space="preserve"> in the adult’s sole name</w:t>
      </w:r>
    </w:p>
    <w:p w:rsidR="00FD61DB" w:rsidRPr="009F306F" w:rsidRDefault="00FD61DB" w:rsidP="000D063D">
      <w:pPr>
        <w:pStyle w:val="NoSpacing"/>
        <w:numPr>
          <w:ilvl w:val="0"/>
          <w:numId w:val="11"/>
        </w:numPr>
        <w:rPr>
          <w:rFonts w:cs="Arial"/>
          <w:szCs w:val="24"/>
        </w:rPr>
      </w:pPr>
      <w:r w:rsidRPr="009F306F">
        <w:rPr>
          <w:rFonts w:cs="Arial"/>
          <w:szCs w:val="24"/>
        </w:rPr>
        <w:t xml:space="preserve">All accounts in the adult’s sole name must continue to be so.  Under the ATF scheme there is no provision to add the </w:t>
      </w:r>
      <w:r>
        <w:rPr>
          <w:rFonts w:cs="Arial"/>
          <w:szCs w:val="24"/>
        </w:rPr>
        <w:t>names of withdrawers</w:t>
      </w:r>
      <w:r w:rsidRPr="009F306F">
        <w:rPr>
          <w:rFonts w:cs="Arial"/>
          <w:szCs w:val="24"/>
        </w:rPr>
        <w:t xml:space="preserve"> </w:t>
      </w:r>
      <w:r>
        <w:rPr>
          <w:rFonts w:cs="Arial"/>
          <w:szCs w:val="24"/>
        </w:rPr>
        <w:t>to the adult’s accounts</w:t>
      </w:r>
      <w:r w:rsidRPr="009F306F">
        <w:rPr>
          <w:rFonts w:cs="Arial"/>
          <w:szCs w:val="24"/>
        </w:rPr>
        <w:t>.  A withdrawer has no authority to access any funds in the adult’s accounts other than what is in the designated account.  Funds will continue to belong to the adult;</w:t>
      </w:r>
    </w:p>
    <w:p w:rsidR="00FD61DB" w:rsidRPr="009F306F" w:rsidRDefault="00FD61DB" w:rsidP="000D063D">
      <w:pPr>
        <w:pStyle w:val="NoSpacing"/>
        <w:numPr>
          <w:ilvl w:val="0"/>
          <w:numId w:val="11"/>
        </w:numPr>
        <w:rPr>
          <w:rFonts w:cs="Arial"/>
          <w:szCs w:val="24"/>
        </w:rPr>
      </w:pPr>
      <w:r w:rsidRPr="009F306F">
        <w:rPr>
          <w:rFonts w:cs="Arial"/>
          <w:szCs w:val="24"/>
        </w:rPr>
        <w:t>Credit transactions can continue on the adult’s accounts;</w:t>
      </w:r>
    </w:p>
    <w:p w:rsidR="00FD61DB" w:rsidRPr="009F306F" w:rsidRDefault="00FD61DB" w:rsidP="000D063D">
      <w:pPr>
        <w:numPr>
          <w:ilvl w:val="0"/>
          <w:numId w:val="11"/>
        </w:numPr>
        <w:autoSpaceDE w:val="0"/>
        <w:autoSpaceDN w:val="0"/>
        <w:adjustRightInd w:val="0"/>
        <w:spacing w:after="0" w:line="240" w:lineRule="auto"/>
        <w:rPr>
          <w:rFonts w:cs="Arial"/>
          <w:szCs w:val="24"/>
        </w:rPr>
      </w:pPr>
      <w:r w:rsidRPr="009F306F">
        <w:rPr>
          <w:rFonts w:cs="Arial"/>
          <w:szCs w:val="24"/>
        </w:rPr>
        <w:t xml:space="preserve">Existing direct debits and standing orders can only continue if </w:t>
      </w:r>
      <w:r w:rsidR="00890FC6">
        <w:rPr>
          <w:rFonts w:cs="Arial"/>
          <w:szCs w:val="24"/>
        </w:rPr>
        <w:t>specified in the certificate</w:t>
      </w:r>
      <w:r w:rsidRPr="009F306F">
        <w:rPr>
          <w:rFonts w:cs="Arial"/>
          <w:szCs w:val="24"/>
        </w:rPr>
        <w:t>. Otherwise all other existing debit transactions will cease</w:t>
      </w:r>
      <w:r w:rsidR="00890FC6">
        <w:rPr>
          <w:rFonts w:cs="Arial"/>
          <w:szCs w:val="24"/>
        </w:rPr>
        <w:t xml:space="preserve"> from the issue date of this </w:t>
      </w:r>
      <w:r w:rsidRPr="009F306F">
        <w:rPr>
          <w:rFonts w:cs="Arial"/>
          <w:szCs w:val="24"/>
        </w:rPr>
        <w:t>certificate;</w:t>
      </w:r>
    </w:p>
    <w:p w:rsidR="00FD61DB" w:rsidRPr="009F306F" w:rsidRDefault="00FD61DB" w:rsidP="000D063D">
      <w:pPr>
        <w:numPr>
          <w:ilvl w:val="0"/>
          <w:numId w:val="11"/>
        </w:numPr>
        <w:autoSpaceDE w:val="0"/>
        <w:autoSpaceDN w:val="0"/>
        <w:adjustRightInd w:val="0"/>
        <w:spacing w:after="0" w:line="240" w:lineRule="auto"/>
        <w:rPr>
          <w:rFonts w:cs="Arial"/>
          <w:szCs w:val="24"/>
        </w:rPr>
      </w:pPr>
      <w:r w:rsidRPr="009F306F">
        <w:rPr>
          <w:rFonts w:cs="Arial"/>
          <w:szCs w:val="24"/>
        </w:rPr>
        <w:t>The legislation provides that none of the accounts are allowed to become overdrawn;</w:t>
      </w:r>
    </w:p>
    <w:p w:rsidR="00FD61DB" w:rsidRPr="009F306F" w:rsidRDefault="00FD61DB" w:rsidP="000D063D">
      <w:pPr>
        <w:numPr>
          <w:ilvl w:val="0"/>
          <w:numId w:val="11"/>
        </w:numPr>
        <w:autoSpaceDE w:val="0"/>
        <w:autoSpaceDN w:val="0"/>
        <w:adjustRightInd w:val="0"/>
        <w:spacing w:after="0" w:line="240" w:lineRule="auto"/>
        <w:rPr>
          <w:rFonts w:cs="Arial"/>
          <w:szCs w:val="24"/>
        </w:rPr>
      </w:pPr>
      <w:r w:rsidRPr="009F306F">
        <w:rPr>
          <w:rFonts w:cs="Arial"/>
          <w:szCs w:val="24"/>
        </w:rPr>
        <w:t>Apart from credit transactions no further activity is allowed on the accounts other than those specified on the</w:t>
      </w:r>
      <w:r w:rsidR="00890FC6">
        <w:rPr>
          <w:rFonts w:cs="Arial"/>
          <w:szCs w:val="24"/>
        </w:rPr>
        <w:t xml:space="preserve"> certificate</w:t>
      </w:r>
      <w:r w:rsidRPr="009F306F">
        <w:rPr>
          <w:rFonts w:cs="Arial"/>
          <w:szCs w:val="24"/>
        </w:rPr>
        <w:t>.</w:t>
      </w:r>
    </w:p>
    <w:p w:rsidR="00810964" w:rsidRPr="006C213D" w:rsidRDefault="00810964" w:rsidP="009F306F">
      <w:pPr>
        <w:autoSpaceDE w:val="0"/>
        <w:autoSpaceDN w:val="0"/>
        <w:adjustRightInd w:val="0"/>
        <w:spacing w:after="0" w:line="240" w:lineRule="auto"/>
        <w:rPr>
          <w:rFonts w:cs="Arial"/>
          <w:sz w:val="16"/>
          <w:szCs w:val="16"/>
        </w:rPr>
      </w:pPr>
    </w:p>
    <w:p w:rsidR="00810964" w:rsidRPr="006C213D" w:rsidRDefault="00810964" w:rsidP="009F306F">
      <w:pPr>
        <w:autoSpaceDE w:val="0"/>
        <w:autoSpaceDN w:val="0"/>
        <w:adjustRightInd w:val="0"/>
        <w:spacing w:after="0" w:line="240" w:lineRule="auto"/>
        <w:rPr>
          <w:rFonts w:cs="Arial"/>
          <w:b/>
          <w:color w:val="E36C0A"/>
          <w:szCs w:val="24"/>
        </w:rPr>
      </w:pPr>
      <w:r w:rsidRPr="006C213D">
        <w:rPr>
          <w:rFonts w:cs="Arial"/>
          <w:b/>
          <w:color w:val="E36C0A"/>
          <w:szCs w:val="24"/>
        </w:rPr>
        <w:t>What happens if the adult dies?</w:t>
      </w:r>
    </w:p>
    <w:p w:rsidR="00810964" w:rsidRPr="006C213D" w:rsidRDefault="00810964" w:rsidP="009F306F">
      <w:pPr>
        <w:autoSpaceDE w:val="0"/>
        <w:autoSpaceDN w:val="0"/>
        <w:adjustRightInd w:val="0"/>
        <w:spacing w:after="0" w:line="240" w:lineRule="auto"/>
        <w:rPr>
          <w:rFonts w:cs="Arial"/>
          <w:color w:val="E36C0A"/>
          <w:sz w:val="16"/>
          <w:szCs w:val="16"/>
        </w:rPr>
      </w:pPr>
    </w:p>
    <w:p w:rsidR="00810964" w:rsidRPr="009F306F" w:rsidRDefault="00810964" w:rsidP="009F306F">
      <w:pPr>
        <w:autoSpaceDE w:val="0"/>
        <w:autoSpaceDN w:val="0"/>
        <w:adjustRightInd w:val="0"/>
        <w:spacing w:after="0" w:line="240" w:lineRule="auto"/>
        <w:rPr>
          <w:rFonts w:cs="Arial"/>
          <w:szCs w:val="24"/>
        </w:rPr>
      </w:pPr>
      <w:r w:rsidRPr="009F306F">
        <w:rPr>
          <w:rFonts w:cs="Arial"/>
          <w:szCs w:val="24"/>
        </w:rPr>
        <w:t>The certificate of authority will cease to have effect on death of the adult.</w:t>
      </w:r>
    </w:p>
    <w:p w:rsidR="002A059B" w:rsidRPr="006C213D" w:rsidRDefault="002A059B" w:rsidP="009F306F">
      <w:pPr>
        <w:autoSpaceDE w:val="0"/>
        <w:autoSpaceDN w:val="0"/>
        <w:adjustRightInd w:val="0"/>
        <w:spacing w:after="0" w:line="240" w:lineRule="auto"/>
        <w:rPr>
          <w:rFonts w:cs="Arial"/>
          <w:sz w:val="16"/>
          <w:szCs w:val="16"/>
        </w:rPr>
      </w:pPr>
    </w:p>
    <w:p w:rsidR="002A059B" w:rsidRDefault="00066585" w:rsidP="009F306F">
      <w:pPr>
        <w:autoSpaceDE w:val="0"/>
        <w:autoSpaceDN w:val="0"/>
        <w:adjustRightInd w:val="0"/>
        <w:spacing w:after="0" w:line="240" w:lineRule="auto"/>
        <w:rPr>
          <w:rFonts w:cs="Arial"/>
          <w:b/>
          <w:color w:val="E36C0A"/>
          <w:szCs w:val="24"/>
        </w:rPr>
      </w:pPr>
      <w:r w:rsidRPr="006C213D">
        <w:rPr>
          <w:rFonts w:cs="Arial"/>
          <w:b/>
          <w:color w:val="E36C0A"/>
          <w:szCs w:val="24"/>
        </w:rPr>
        <w:t>Advice and g</w:t>
      </w:r>
      <w:r w:rsidR="002A059B" w:rsidRPr="006C213D">
        <w:rPr>
          <w:rFonts w:cs="Arial"/>
          <w:b/>
          <w:color w:val="E36C0A"/>
          <w:szCs w:val="24"/>
        </w:rPr>
        <w:t>uidance</w:t>
      </w:r>
    </w:p>
    <w:p w:rsidR="00247963" w:rsidRPr="00717E57" w:rsidRDefault="00247963" w:rsidP="009F306F">
      <w:pPr>
        <w:autoSpaceDE w:val="0"/>
        <w:autoSpaceDN w:val="0"/>
        <w:adjustRightInd w:val="0"/>
        <w:spacing w:after="0" w:line="240" w:lineRule="auto"/>
        <w:rPr>
          <w:rFonts w:cs="Arial"/>
          <w:b/>
          <w:color w:val="E36C0A"/>
          <w:sz w:val="16"/>
          <w:szCs w:val="16"/>
        </w:rPr>
      </w:pPr>
    </w:p>
    <w:p w:rsidR="00F91B54" w:rsidRPr="009F306F" w:rsidRDefault="009F306F" w:rsidP="009F306F">
      <w:pPr>
        <w:autoSpaceDE w:val="0"/>
        <w:autoSpaceDN w:val="0"/>
        <w:adjustRightInd w:val="0"/>
        <w:spacing w:after="0" w:line="240" w:lineRule="auto"/>
        <w:rPr>
          <w:rFonts w:cs="Arial"/>
          <w:szCs w:val="24"/>
        </w:rPr>
      </w:pPr>
      <w:r w:rsidRPr="009F306F">
        <w:rPr>
          <w:rFonts w:cs="Arial"/>
          <w:szCs w:val="24"/>
        </w:rPr>
        <w:t xml:space="preserve">We </w:t>
      </w:r>
      <w:r w:rsidR="00F91B54" w:rsidRPr="009F306F">
        <w:rPr>
          <w:rFonts w:cs="Arial"/>
          <w:szCs w:val="24"/>
        </w:rPr>
        <w:t xml:space="preserve">will be pleased to </w:t>
      </w:r>
      <w:r w:rsidRPr="009F306F">
        <w:rPr>
          <w:rFonts w:cs="Arial"/>
          <w:szCs w:val="24"/>
        </w:rPr>
        <w:t xml:space="preserve">provide information and advice </w:t>
      </w:r>
      <w:r w:rsidR="00F91B54" w:rsidRPr="009F306F">
        <w:rPr>
          <w:rFonts w:cs="Arial"/>
          <w:szCs w:val="24"/>
        </w:rPr>
        <w:t>between</w:t>
      </w:r>
      <w:r w:rsidRPr="009F306F">
        <w:rPr>
          <w:rFonts w:cs="Arial"/>
          <w:szCs w:val="24"/>
        </w:rPr>
        <w:t xml:space="preserve"> 9am and 5pm, Monday to Friday. </w:t>
      </w:r>
      <w:r w:rsidR="00F91B54" w:rsidRPr="009F306F">
        <w:rPr>
          <w:rFonts w:cs="Arial"/>
          <w:szCs w:val="24"/>
        </w:rPr>
        <w:t>Our website is a useful point of reference with links to related sites.</w:t>
      </w:r>
    </w:p>
    <w:p w:rsidR="009F306F" w:rsidRPr="009F306F" w:rsidRDefault="009F306F" w:rsidP="009F306F">
      <w:pPr>
        <w:autoSpaceDE w:val="0"/>
        <w:autoSpaceDN w:val="0"/>
        <w:adjustRightInd w:val="0"/>
        <w:spacing w:after="0" w:line="240" w:lineRule="auto"/>
        <w:rPr>
          <w:rFonts w:cs="Arial"/>
          <w:b/>
          <w:szCs w:val="24"/>
        </w:rPr>
      </w:pPr>
    </w:p>
    <w:p w:rsidR="007C718D" w:rsidRDefault="00F91B54" w:rsidP="009F306F">
      <w:pPr>
        <w:autoSpaceDE w:val="0"/>
        <w:autoSpaceDN w:val="0"/>
        <w:adjustRightInd w:val="0"/>
        <w:spacing w:after="0" w:line="240" w:lineRule="auto"/>
        <w:rPr>
          <w:rFonts w:cs="Arial"/>
          <w:b/>
          <w:szCs w:val="24"/>
        </w:rPr>
      </w:pPr>
      <w:r w:rsidRPr="009F306F">
        <w:rPr>
          <w:rFonts w:cs="Arial"/>
          <w:b/>
          <w:szCs w:val="24"/>
        </w:rPr>
        <w:t>Office of</w:t>
      </w:r>
      <w:r w:rsidR="007C718D">
        <w:rPr>
          <w:rFonts w:cs="Arial"/>
          <w:b/>
          <w:szCs w:val="24"/>
        </w:rPr>
        <w:t xml:space="preserve"> the Public Guardian (Scotland)</w:t>
      </w:r>
    </w:p>
    <w:p w:rsidR="00F91B54" w:rsidRPr="007C718D" w:rsidRDefault="00F91B54" w:rsidP="009F306F">
      <w:pPr>
        <w:autoSpaceDE w:val="0"/>
        <w:autoSpaceDN w:val="0"/>
        <w:adjustRightInd w:val="0"/>
        <w:spacing w:after="0" w:line="240" w:lineRule="auto"/>
        <w:rPr>
          <w:rFonts w:cs="Arial"/>
          <w:b/>
          <w:szCs w:val="24"/>
        </w:rPr>
      </w:pPr>
      <w:r w:rsidRPr="009F306F">
        <w:rPr>
          <w:rFonts w:cs="Arial"/>
          <w:szCs w:val="24"/>
        </w:rPr>
        <w:t>Hadrian House, Callendar Business Park</w:t>
      </w:r>
      <w:r w:rsidR="007C718D">
        <w:rPr>
          <w:rFonts w:cs="Arial"/>
          <w:b/>
          <w:szCs w:val="24"/>
        </w:rPr>
        <w:t xml:space="preserve">, </w:t>
      </w:r>
      <w:r w:rsidRPr="009F306F">
        <w:rPr>
          <w:rFonts w:cs="Arial"/>
          <w:szCs w:val="24"/>
        </w:rPr>
        <w:t>Callendar Road, FALKIRK, FK1 1XR</w:t>
      </w:r>
    </w:p>
    <w:p w:rsidR="00F91B54" w:rsidRPr="009F306F" w:rsidRDefault="00F91B54" w:rsidP="009F306F">
      <w:pPr>
        <w:autoSpaceDE w:val="0"/>
        <w:autoSpaceDN w:val="0"/>
        <w:adjustRightInd w:val="0"/>
        <w:spacing w:after="0" w:line="240" w:lineRule="auto"/>
        <w:rPr>
          <w:rFonts w:cs="Arial"/>
          <w:szCs w:val="24"/>
        </w:rPr>
      </w:pPr>
    </w:p>
    <w:p w:rsidR="00F91B54" w:rsidRPr="009F306F" w:rsidRDefault="006A7870" w:rsidP="009F306F">
      <w:pPr>
        <w:numPr>
          <w:ilvl w:val="0"/>
          <w:numId w:val="9"/>
        </w:numPr>
        <w:autoSpaceDE w:val="0"/>
        <w:autoSpaceDN w:val="0"/>
        <w:adjustRightInd w:val="0"/>
        <w:spacing w:after="0" w:line="240" w:lineRule="auto"/>
        <w:ind w:firstLine="0"/>
        <w:rPr>
          <w:rFonts w:cs="Arial"/>
          <w:szCs w:val="24"/>
        </w:rPr>
      </w:pPr>
      <w:r>
        <w:rPr>
          <w:rFonts w:cs="Arial"/>
          <w:szCs w:val="24"/>
        </w:rPr>
        <w:t>Telephone: 01324 677140</w:t>
      </w:r>
    </w:p>
    <w:p w:rsidR="00F91B54" w:rsidRPr="009F306F" w:rsidRDefault="00F91B54" w:rsidP="009F306F">
      <w:pPr>
        <w:numPr>
          <w:ilvl w:val="0"/>
          <w:numId w:val="9"/>
        </w:numPr>
        <w:autoSpaceDE w:val="0"/>
        <w:autoSpaceDN w:val="0"/>
        <w:adjustRightInd w:val="0"/>
        <w:spacing w:after="0" w:line="240" w:lineRule="auto"/>
        <w:ind w:firstLine="0"/>
        <w:rPr>
          <w:rFonts w:cs="Arial"/>
          <w:szCs w:val="24"/>
        </w:rPr>
      </w:pPr>
      <w:r w:rsidRPr="009F306F">
        <w:rPr>
          <w:rFonts w:cs="Arial"/>
          <w:szCs w:val="24"/>
        </w:rPr>
        <w:t xml:space="preserve">Email: </w:t>
      </w:r>
      <w:hyperlink r:id="rId10" w:history="1">
        <w:r w:rsidR="006A7870">
          <w:rPr>
            <w:rStyle w:val="Hyperlink"/>
            <w:rFonts w:cs="Arial"/>
            <w:szCs w:val="24"/>
          </w:rPr>
          <w:t>atf</w:t>
        </w:r>
        <w:r w:rsidR="0046615D" w:rsidRPr="003F224F">
          <w:rPr>
            <w:rStyle w:val="Hyperlink"/>
            <w:rFonts w:cs="Arial"/>
            <w:szCs w:val="24"/>
          </w:rPr>
          <w:t>@scotcourts.gov.uk</w:t>
        </w:r>
      </w:hyperlink>
      <w:r w:rsidR="0046615D">
        <w:rPr>
          <w:rFonts w:cs="Arial"/>
          <w:szCs w:val="24"/>
        </w:rPr>
        <w:t xml:space="preserve"> </w:t>
      </w:r>
    </w:p>
    <w:p w:rsidR="00F91B54" w:rsidRPr="00E023E2" w:rsidRDefault="00F91B54" w:rsidP="009F306F">
      <w:pPr>
        <w:numPr>
          <w:ilvl w:val="0"/>
          <w:numId w:val="9"/>
        </w:numPr>
        <w:autoSpaceDE w:val="0"/>
        <w:autoSpaceDN w:val="0"/>
        <w:adjustRightInd w:val="0"/>
        <w:spacing w:after="0" w:line="240" w:lineRule="auto"/>
        <w:ind w:firstLine="0"/>
        <w:rPr>
          <w:rStyle w:val="Hyperlink"/>
          <w:rFonts w:cs="Arial"/>
          <w:color w:val="auto"/>
          <w:szCs w:val="24"/>
          <w:u w:val="none"/>
        </w:rPr>
      </w:pPr>
      <w:r w:rsidRPr="009F306F">
        <w:rPr>
          <w:rFonts w:cs="Arial"/>
          <w:szCs w:val="24"/>
        </w:rPr>
        <w:t xml:space="preserve"> </w:t>
      </w:r>
      <w:hyperlink r:id="rId11" w:history="1">
        <w:r w:rsidR="002161E0" w:rsidRPr="00BE2949">
          <w:rPr>
            <w:rStyle w:val="Hyperlink"/>
            <w:rFonts w:cs="Arial"/>
            <w:szCs w:val="24"/>
          </w:rPr>
          <w:t>www.publicguardian-scotland.gov.uk</w:t>
        </w:r>
      </w:hyperlink>
    </w:p>
    <w:p w:rsidR="00E023E2" w:rsidRPr="00E023E2" w:rsidRDefault="00E023E2" w:rsidP="009F306F">
      <w:pPr>
        <w:numPr>
          <w:ilvl w:val="0"/>
          <w:numId w:val="9"/>
        </w:numPr>
        <w:autoSpaceDE w:val="0"/>
        <w:autoSpaceDN w:val="0"/>
        <w:adjustRightInd w:val="0"/>
        <w:spacing w:after="0" w:line="240" w:lineRule="auto"/>
        <w:ind w:firstLine="0"/>
        <w:rPr>
          <w:rFonts w:cs="Arial"/>
          <w:szCs w:val="24"/>
        </w:rPr>
      </w:pPr>
      <w:r w:rsidRPr="00E023E2">
        <w:rPr>
          <w:rStyle w:val="Hyperlink"/>
          <w:rFonts w:cs="Arial"/>
          <w:color w:val="auto"/>
          <w:szCs w:val="24"/>
          <w:u w:val="none"/>
        </w:rPr>
        <w:t xml:space="preserve">Twitter: Public </w:t>
      </w:r>
      <w:proofErr w:type="spellStart"/>
      <w:r w:rsidRPr="00E023E2">
        <w:rPr>
          <w:rStyle w:val="Hyperlink"/>
          <w:rFonts w:cs="Arial"/>
          <w:color w:val="auto"/>
          <w:szCs w:val="24"/>
          <w:u w:val="none"/>
        </w:rPr>
        <w:t>Guardian@OPGScotland</w:t>
      </w:r>
      <w:proofErr w:type="spellEnd"/>
    </w:p>
    <w:p w:rsidR="00F91B54" w:rsidRPr="009F306F" w:rsidRDefault="00F91B54" w:rsidP="009F306F">
      <w:pPr>
        <w:autoSpaceDE w:val="0"/>
        <w:autoSpaceDN w:val="0"/>
        <w:adjustRightInd w:val="0"/>
        <w:spacing w:after="0" w:line="240" w:lineRule="auto"/>
        <w:rPr>
          <w:rFonts w:cs="Arial"/>
          <w:szCs w:val="24"/>
        </w:rPr>
      </w:pPr>
    </w:p>
    <w:p w:rsidR="00F91B54" w:rsidRDefault="002161E0" w:rsidP="0094561B">
      <w:pPr>
        <w:autoSpaceDE w:val="0"/>
        <w:autoSpaceDN w:val="0"/>
        <w:adjustRightInd w:val="0"/>
        <w:spacing w:after="0" w:line="240" w:lineRule="auto"/>
        <w:jc w:val="both"/>
        <w:rPr>
          <w:rFonts w:cs="Arial"/>
          <w:szCs w:val="24"/>
        </w:rPr>
      </w:pPr>
      <w:r>
        <w:rPr>
          <w:rFonts w:cs="Arial"/>
          <w:szCs w:val="24"/>
        </w:rPr>
        <w:t>The Office of the Public Guardian</w:t>
      </w:r>
      <w:r w:rsidR="00F91B54" w:rsidRPr="009F306F">
        <w:rPr>
          <w:rFonts w:cs="Arial"/>
          <w:szCs w:val="24"/>
        </w:rPr>
        <w:t xml:space="preserve"> is part of the Scottish Court</w:t>
      </w:r>
      <w:r w:rsidR="002B0C9C" w:rsidRPr="009F306F">
        <w:rPr>
          <w:rFonts w:cs="Arial"/>
          <w:szCs w:val="24"/>
        </w:rPr>
        <w:t>s and Tribunals</w:t>
      </w:r>
      <w:r w:rsidR="00F91B54" w:rsidRPr="009F306F">
        <w:rPr>
          <w:rFonts w:cs="Arial"/>
          <w:szCs w:val="24"/>
        </w:rPr>
        <w:t xml:space="preserve"> Service</w:t>
      </w:r>
      <w:r w:rsidR="0094561B">
        <w:rPr>
          <w:rFonts w:cs="Arial"/>
          <w:szCs w:val="24"/>
        </w:rPr>
        <w:t>.</w:t>
      </w:r>
    </w:p>
    <w:p w:rsidR="00C659D9" w:rsidRPr="00C659D9" w:rsidRDefault="00C659D9" w:rsidP="0094561B">
      <w:pPr>
        <w:jc w:val="both"/>
      </w:pPr>
      <w:r>
        <w:t>We welcome any feedback or comment you may have on the content of this factsheet.</w:t>
      </w:r>
    </w:p>
    <w:sectPr w:rsidR="00C659D9" w:rsidRPr="00C659D9" w:rsidSect="00853654">
      <w:headerReference w:type="default" r:id="rId12"/>
      <w:footerReference w:type="default" r:id="rId13"/>
      <w:pgSz w:w="11906" w:h="16838"/>
      <w:pgMar w:top="720" w:right="720" w:bottom="720" w:left="720"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80" w:rsidRDefault="00F80280" w:rsidP="00D454FE">
      <w:pPr>
        <w:spacing w:after="0" w:line="240" w:lineRule="auto"/>
      </w:pPr>
      <w:r>
        <w:separator/>
      </w:r>
    </w:p>
  </w:endnote>
  <w:endnote w:type="continuationSeparator" w:id="0">
    <w:p w:rsidR="00F80280" w:rsidRDefault="00F80280" w:rsidP="00D4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57" w:rsidRPr="00E023E2" w:rsidRDefault="006A7870" w:rsidP="006A7870">
    <w:pPr>
      <w:pStyle w:val="Footer"/>
      <w:jc w:val="right"/>
      <w:rPr>
        <w:sz w:val="16"/>
        <w:szCs w:val="16"/>
      </w:rPr>
    </w:pPr>
    <w:r w:rsidRPr="00E023E2">
      <w:rPr>
        <w:sz w:val="16"/>
        <w:szCs w:val="16"/>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80" w:rsidRDefault="00F80280" w:rsidP="00D454FE">
      <w:pPr>
        <w:spacing w:after="0" w:line="240" w:lineRule="auto"/>
      </w:pPr>
      <w:r>
        <w:separator/>
      </w:r>
    </w:p>
  </w:footnote>
  <w:footnote w:type="continuationSeparator" w:id="0">
    <w:p w:rsidR="00F80280" w:rsidRDefault="00F80280" w:rsidP="00D45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57" w:rsidRDefault="00717E57" w:rsidP="00D6066A">
    <w:pPr>
      <w:pStyle w:val="Header"/>
      <w:tabs>
        <w:tab w:val="left" w:pos="1019"/>
        <w:tab w:val="right" w:pos="10466"/>
      </w:tabs>
      <w:jc w:val="right"/>
    </w:pPr>
    <w:r>
      <w:tab/>
    </w:r>
    <w:r>
      <w:tab/>
    </w:r>
    <w:r>
      <w:tab/>
    </w:r>
  </w:p>
  <w:p w:rsidR="00717E57" w:rsidRDefault="00717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26A"/>
    <w:multiLevelType w:val="hybridMultilevel"/>
    <w:tmpl w:val="7174D52C"/>
    <w:lvl w:ilvl="0" w:tplc="9D9A97BC">
      <w:start w:val="1"/>
      <w:numFmt w:val="bullet"/>
      <w:lvlText w:val=""/>
      <w:lvlJc w:val="left"/>
      <w:pPr>
        <w:ind w:left="360" w:hanging="360"/>
      </w:pPr>
      <w:rPr>
        <w:rFonts w:ascii="Symbol" w:hAnsi="Symbol" w:hint="default"/>
        <w:color w:val="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D05065"/>
    <w:multiLevelType w:val="hybridMultilevel"/>
    <w:tmpl w:val="FE0A6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5F50CE"/>
    <w:multiLevelType w:val="hybridMultilevel"/>
    <w:tmpl w:val="A258B8A2"/>
    <w:lvl w:ilvl="0" w:tplc="C83895B0">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E1AD2"/>
    <w:multiLevelType w:val="hybridMultilevel"/>
    <w:tmpl w:val="35DEDF56"/>
    <w:lvl w:ilvl="0" w:tplc="CCE4CAA8">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37354E"/>
    <w:multiLevelType w:val="hybridMultilevel"/>
    <w:tmpl w:val="E9DC59D6"/>
    <w:lvl w:ilvl="0" w:tplc="9D9A97BC">
      <w:start w:val="1"/>
      <w:numFmt w:val="bullet"/>
      <w:lvlText w:val=""/>
      <w:lvlJc w:val="left"/>
      <w:pPr>
        <w:ind w:left="36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345FC6"/>
    <w:multiLevelType w:val="hybridMultilevel"/>
    <w:tmpl w:val="10469DAE"/>
    <w:lvl w:ilvl="0" w:tplc="CCE4CAA8">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4A3BA4"/>
    <w:multiLevelType w:val="hybridMultilevel"/>
    <w:tmpl w:val="304C5BE0"/>
    <w:lvl w:ilvl="0" w:tplc="C83895B0">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140FA"/>
    <w:multiLevelType w:val="hybridMultilevel"/>
    <w:tmpl w:val="F7AE7016"/>
    <w:lvl w:ilvl="0" w:tplc="9D9A97BC">
      <w:start w:val="1"/>
      <w:numFmt w:val="bullet"/>
      <w:lvlText w:val=""/>
      <w:lvlJc w:val="left"/>
      <w:pPr>
        <w:ind w:left="36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D87132"/>
    <w:multiLevelType w:val="hybridMultilevel"/>
    <w:tmpl w:val="B236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D65851"/>
    <w:multiLevelType w:val="hybridMultilevel"/>
    <w:tmpl w:val="60A6194A"/>
    <w:lvl w:ilvl="0" w:tplc="9D9A97BC">
      <w:start w:val="1"/>
      <w:numFmt w:val="bullet"/>
      <w:lvlText w:val=""/>
      <w:lvlJc w:val="left"/>
      <w:pPr>
        <w:ind w:left="36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EB4153"/>
    <w:multiLevelType w:val="hybridMultilevel"/>
    <w:tmpl w:val="96F25E26"/>
    <w:lvl w:ilvl="0" w:tplc="CCE4CAA8">
      <w:start w:val="1"/>
      <w:numFmt w:val="bullet"/>
      <w:lvlText w:val=""/>
      <w:lvlJc w:val="left"/>
      <w:pPr>
        <w:ind w:left="360" w:hanging="360"/>
      </w:pPr>
      <w:rPr>
        <w:rFonts w:ascii="Symbol" w:hAnsi="Symbol" w:hint="default"/>
        <w:color w:val="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E503DD4"/>
    <w:multiLevelType w:val="hybridMultilevel"/>
    <w:tmpl w:val="67F216E0"/>
    <w:lvl w:ilvl="0" w:tplc="9D9A97BC">
      <w:start w:val="1"/>
      <w:numFmt w:val="bullet"/>
      <w:lvlText w:val=""/>
      <w:lvlJc w:val="left"/>
      <w:pPr>
        <w:ind w:left="36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BE0C89"/>
    <w:multiLevelType w:val="hybridMultilevel"/>
    <w:tmpl w:val="7B7A5970"/>
    <w:lvl w:ilvl="0" w:tplc="08090001">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3B4401"/>
    <w:multiLevelType w:val="hybridMultilevel"/>
    <w:tmpl w:val="C2282E70"/>
    <w:lvl w:ilvl="0" w:tplc="CCE4CAA8">
      <w:start w:val="1"/>
      <w:numFmt w:val="bullet"/>
      <w:lvlText w:val=""/>
      <w:lvlJc w:val="left"/>
      <w:pPr>
        <w:ind w:left="360" w:hanging="360"/>
      </w:pPr>
      <w:rPr>
        <w:rFonts w:ascii="Symbol" w:hAnsi="Symbol" w:hint="default"/>
        <w:color w:val="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1D38EC"/>
    <w:multiLevelType w:val="hybridMultilevel"/>
    <w:tmpl w:val="E2CE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F263B0"/>
    <w:multiLevelType w:val="hybridMultilevel"/>
    <w:tmpl w:val="7F0A264E"/>
    <w:lvl w:ilvl="0" w:tplc="9D9A97BC">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0"/>
  </w:num>
  <w:num w:numId="5">
    <w:abstractNumId w:val="4"/>
  </w:num>
  <w:num w:numId="6">
    <w:abstractNumId w:val="11"/>
  </w:num>
  <w:num w:numId="7">
    <w:abstractNumId w:val="9"/>
  </w:num>
  <w:num w:numId="8">
    <w:abstractNumId w:val="7"/>
  </w:num>
  <w:num w:numId="9">
    <w:abstractNumId w:val="15"/>
  </w:num>
  <w:num w:numId="10">
    <w:abstractNumId w:val="8"/>
  </w:num>
  <w:num w:numId="11">
    <w:abstractNumId w:val="5"/>
  </w:num>
  <w:num w:numId="12">
    <w:abstractNumId w:val="10"/>
  </w:num>
  <w:num w:numId="13">
    <w:abstractNumId w:val="3"/>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cumentProtection w:edit="readOnly" w:enforcement="1" w:cryptProviderType="rsaFull" w:cryptAlgorithmClass="hash" w:cryptAlgorithmType="typeAny" w:cryptAlgorithmSid="4" w:cryptSpinCount="100000" w:hash="/oKe24t1U1aevlmhEA+4Bq8ylic=" w:salt="SvPu0u62cN3P5B9ATnQMmQ=="/>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23"/>
    <w:rsid w:val="00011885"/>
    <w:rsid w:val="000222ED"/>
    <w:rsid w:val="000224CE"/>
    <w:rsid w:val="00045602"/>
    <w:rsid w:val="00057864"/>
    <w:rsid w:val="00066585"/>
    <w:rsid w:val="000868A0"/>
    <w:rsid w:val="00090963"/>
    <w:rsid w:val="000D063D"/>
    <w:rsid w:val="000D63D4"/>
    <w:rsid w:val="00122762"/>
    <w:rsid w:val="001571C6"/>
    <w:rsid w:val="001654C9"/>
    <w:rsid w:val="001E397C"/>
    <w:rsid w:val="001F7189"/>
    <w:rsid w:val="002161E0"/>
    <w:rsid w:val="002221BF"/>
    <w:rsid w:val="00247963"/>
    <w:rsid w:val="002A059B"/>
    <w:rsid w:val="002B0C9C"/>
    <w:rsid w:val="002F5D23"/>
    <w:rsid w:val="002F6376"/>
    <w:rsid w:val="00315E25"/>
    <w:rsid w:val="0032686C"/>
    <w:rsid w:val="00331B89"/>
    <w:rsid w:val="003B03ED"/>
    <w:rsid w:val="003B2EB0"/>
    <w:rsid w:val="0041515E"/>
    <w:rsid w:val="0046615D"/>
    <w:rsid w:val="0048114D"/>
    <w:rsid w:val="00481D11"/>
    <w:rsid w:val="004C3E64"/>
    <w:rsid w:val="004F2FFB"/>
    <w:rsid w:val="00536E35"/>
    <w:rsid w:val="005612BD"/>
    <w:rsid w:val="00576FD5"/>
    <w:rsid w:val="00594575"/>
    <w:rsid w:val="00607E66"/>
    <w:rsid w:val="00620D09"/>
    <w:rsid w:val="006A7870"/>
    <w:rsid w:val="006C1377"/>
    <w:rsid w:val="006C213D"/>
    <w:rsid w:val="006C3EE9"/>
    <w:rsid w:val="006D04DD"/>
    <w:rsid w:val="006D7747"/>
    <w:rsid w:val="00717E57"/>
    <w:rsid w:val="007C718D"/>
    <w:rsid w:val="007E4ED1"/>
    <w:rsid w:val="00800CCB"/>
    <w:rsid w:val="00810964"/>
    <w:rsid w:val="0081300D"/>
    <w:rsid w:val="00826094"/>
    <w:rsid w:val="00853654"/>
    <w:rsid w:val="008769BE"/>
    <w:rsid w:val="00890FC6"/>
    <w:rsid w:val="00905D75"/>
    <w:rsid w:val="00907276"/>
    <w:rsid w:val="00935028"/>
    <w:rsid w:val="0094561B"/>
    <w:rsid w:val="009B7E5E"/>
    <w:rsid w:val="009F306F"/>
    <w:rsid w:val="00B1067D"/>
    <w:rsid w:val="00B736A8"/>
    <w:rsid w:val="00BB0CE9"/>
    <w:rsid w:val="00BE7378"/>
    <w:rsid w:val="00C02457"/>
    <w:rsid w:val="00C0285C"/>
    <w:rsid w:val="00C11905"/>
    <w:rsid w:val="00C25648"/>
    <w:rsid w:val="00C56C53"/>
    <w:rsid w:val="00C659D9"/>
    <w:rsid w:val="00C67B92"/>
    <w:rsid w:val="00CB1197"/>
    <w:rsid w:val="00CD00B6"/>
    <w:rsid w:val="00CD15A6"/>
    <w:rsid w:val="00CF6544"/>
    <w:rsid w:val="00D454FE"/>
    <w:rsid w:val="00D6066A"/>
    <w:rsid w:val="00DA65AE"/>
    <w:rsid w:val="00E023E2"/>
    <w:rsid w:val="00E27C71"/>
    <w:rsid w:val="00E37478"/>
    <w:rsid w:val="00EA7630"/>
    <w:rsid w:val="00EE0EFD"/>
    <w:rsid w:val="00F26A3A"/>
    <w:rsid w:val="00F80280"/>
    <w:rsid w:val="00F91B54"/>
    <w:rsid w:val="00F94227"/>
    <w:rsid w:val="00FD2BFC"/>
    <w:rsid w:val="00FD6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D23"/>
    <w:rPr>
      <w:sz w:val="24"/>
    </w:rPr>
  </w:style>
  <w:style w:type="paragraph" w:styleId="ListParagraph">
    <w:name w:val="List Paragraph"/>
    <w:basedOn w:val="Normal"/>
    <w:uiPriority w:val="34"/>
    <w:qFormat/>
    <w:rsid w:val="00935028"/>
    <w:pPr>
      <w:ind w:left="720"/>
    </w:pPr>
  </w:style>
  <w:style w:type="paragraph" w:styleId="Header">
    <w:name w:val="header"/>
    <w:basedOn w:val="Normal"/>
    <w:link w:val="HeaderChar"/>
    <w:uiPriority w:val="99"/>
    <w:unhideWhenUsed/>
    <w:rsid w:val="00D454FE"/>
    <w:pPr>
      <w:tabs>
        <w:tab w:val="center" w:pos="4513"/>
        <w:tab w:val="right" w:pos="9026"/>
      </w:tabs>
    </w:pPr>
  </w:style>
  <w:style w:type="character" w:customStyle="1" w:styleId="HeaderChar">
    <w:name w:val="Header Char"/>
    <w:link w:val="Header"/>
    <w:uiPriority w:val="99"/>
    <w:rsid w:val="00D454FE"/>
    <w:rPr>
      <w:sz w:val="24"/>
    </w:rPr>
  </w:style>
  <w:style w:type="paragraph" w:styleId="Footer">
    <w:name w:val="footer"/>
    <w:basedOn w:val="Normal"/>
    <w:link w:val="FooterChar"/>
    <w:uiPriority w:val="99"/>
    <w:unhideWhenUsed/>
    <w:rsid w:val="00D454FE"/>
    <w:pPr>
      <w:tabs>
        <w:tab w:val="center" w:pos="4513"/>
        <w:tab w:val="right" w:pos="9026"/>
      </w:tabs>
    </w:pPr>
  </w:style>
  <w:style w:type="character" w:customStyle="1" w:styleId="FooterChar">
    <w:name w:val="Footer Char"/>
    <w:link w:val="Footer"/>
    <w:uiPriority w:val="99"/>
    <w:rsid w:val="00D454FE"/>
    <w:rPr>
      <w:sz w:val="24"/>
    </w:rPr>
  </w:style>
  <w:style w:type="paragraph" w:styleId="BalloonText">
    <w:name w:val="Balloon Text"/>
    <w:basedOn w:val="Normal"/>
    <w:link w:val="BalloonTextChar"/>
    <w:uiPriority w:val="99"/>
    <w:semiHidden/>
    <w:unhideWhenUsed/>
    <w:rsid w:val="00D454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4FE"/>
    <w:rPr>
      <w:rFonts w:ascii="Tahoma" w:hAnsi="Tahoma" w:cs="Tahoma"/>
      <w:sz w:val="16"/>
      <w:szCs w:val="16"/>
    </w:rPr>
  </w:style>
  <w:style w:type="character" w:styleId="CommentReference">
    <w:name w:val="annotation reference"/>
    <w:uiPriority w:val="99"/>
    <w:semiHidden/>
    <w:unhideWhenUsed/>
    <w:rsid w:val="0041515E"/>
    <w:rPr>
      <w:sz w:val="16"/>
      <w:szCs w:val="16"/>
    </w:rPr>
  </w:style>
  <w:style w:type="paragraph" w:styleId="CommentText">
    <w:name w:val="annotation text"/>
    <w:basedOn w:val="Normal"/>
    <w:link w:val="CommentTextChar"/>
    <w:uiPriority w:val="99"/>
    <w:semiHidden/>
    <w:unhideWhenUsed/>
    <w:rsid w:val="0041515E"/>
    <w:rPr>
      <w:sz w:val="20"/>
    </w:rPr>
  </w:style>
  <w:style w:type="character" w:customStyle="1" w:styleId="CommentTextChar">
    <w:name w:val="Comment Text Char"/>
    <w:basedOn w:val="DefaultParagraphFont"/>
    <w:link w:val="CommentText"/>
    <w:uiPriority w:val="99"/>
    <w:semiHidden/>
    <w:rsid w:val="0041515E"/>
  </w:style>
  <w:style w:type="paragraph" w:styleId="CommentSubject">
    <w:name w:val="annotation subject"/>
    <w:basedOn w:val="CommentText"/>
    <w:next w:val="CommentText"/>
    <w:link w:val="CommentSubjectChar"/>
    <w:uiPriority w:val="99"/>
    <w:semiHidden/>
    <w:unhideWhenUsed/>
    <w:rsid w:val="0041515E"/>
    <w:rPr>
      <w:b/>
      <w:bCs/>
    </w:rPr>
  </w:style>
  <w:style w:type="character" w:customStyle="1" w:styleId="CommentSubjectChar">
    <w:name w:val="Comment Subject Char"/>
    <w:link w:val="CommentSubject"/>
    <w:uiPriority w:val="99"/>
    <w:semiHidden/>
    <w:rsid w:val="0041515E"/>
    <w:rPr>
      <w:b/>
      <w:bCs/>
    </w:rPr>
  </w:style>
  <w:style w:type="character" w:styleId="Hyperlink">
    <w:name w:val="Hyperlink"/>
    <w:uiPriority w:val="99"/>
    <w:unhideWhenUsed/>
    <w:rsid w:val="002161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D23"/>
    <w:rPr>
      <w:sz w:val="24"/>
    </w:rPr>
  </w:style>
  <w:style w:type="paragraph" w:styleId="ListParagraph">
    <w:name w:val="List Paragraph"/>
    <w:basedOn w:val="Normal"/>
    <w:uiPriority w:val="34"/>
    <w:qFormat/>
    <w:rsid w:val="00935028"/>
    <w:pPr>
      <w:ind w:left="720"/>
    </w:pPr>
  </w:style>
  <w:style w:type="paragraph" w:styleId="Header">
    <w:name w:val="header"/>
    <w:basedOn w:val="Normal"/>
    <w:link w:val="HeaderChar"/>
    <w:uiPriority w:val="99"/>
    <w:unhideWhenUsed/>
    <w:rsid w:val="00D454FE"/>
    <w:pPr>
      <w:tabs>
        <w:tab w:val="center" w:pos="4513"/>
        <w:tab w:val="right" w:pos="9026"/>
      </w:tabs>
    </w:pPr>
  </w:style>
  <w:style w:type="character" w:customStyle="1" w:styleId="HeaderChar">
    <w:name w:val="Header Char"/>
    <w:link w:val="Header"/>
    <w:uiPriority w:val="99"/>
    <w:rsid w:val="00D454FE"/>
    <w:rPr>
      <w:sz w:val="24"/>
    </w:rPr>
  </w:style>
  <w:style w:type="paragraph" w:styleId="Footer">
    <w:name w:val="footer"/>
    <w:basedOn w:val="Normal"/>
    <w:link w:val="FooterChar"/>
    <w:uiPriority w:val="99"/>
    <w:unhideWhenUsed/>
    <w:rsid w:val="00D454FE"/>
    <w:pPr>
      <w:tabs>
        <w:tab w:val="center" w:pos="4513"/>
        <w:tab w:val="right" w:pos="9026"/>
      </w:tabs>
    </w:pPr>
  </w:style>
  <w:style w:type="character" w:customStyle="1" w:styleId="FooterChar">
    <w:name w:val="Footer Char"/>
    <w:link w:val="Footer"/>
    <w:uiPriority w:val="99"/>
    <w:rsid w:val="00D454FE"/>
    <w:rPr>
      <w:sz w:val="24"/>
    </w:rPr>
  </w:style>
  <w:style w:type="paragraph" w:styleId="BalloonText">
    <w:name w:val="Balloon Text"/>
    <w:basedOn w:val="Normal"/>
    <w:link w:val="BalloonTextChar"/>
    <w:uiPriority w:val="99"/>
    <w:semiHidden/>
    <w:unhideWhenUsed/>
    <w:rsid w:val="00D454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4FE"/>
    <w:rPr>
      <w:rFonts w:ascii="Tahoma" w:hAnsi="Tahoma" w:cs="Tahoma"/>
      <w:sz w:val="16"/>
      <w:szCs w:val="16"/>
    </w:rPr>
  </w:style>
  <w:style w:type="character" w:styleId="CommentReference">
    <w:name w:val="annotation reference"/>
    <w:uiPriority w:val="99"/>
    <w:semiHidden/>
    <w:unhideWhenUsed/>
    <w:rsid w:val="0041515E"/>
    <w:rPr>
      <w:sz w:val="16"/>
      <w:szCs w:val="16"/>
    </w:rPr>
  </w:style>
  <w:style w:type="paragraph" w:styleId="CommentText">
    <w:name w:val="annotation text"/>
    <w:basedOn w:val="Normal"/>
    <w:link w:val="CommentTextChar"/>
    <w:uiPriority w:val="99"/>
    <w:semiHidden/>
    <w:unhideWhenUsed/>
    <w:rsid w:val="0041515E"/>
    <w:rPr>
      <w:sz w:val="20"/>
    </w:rPr>
  </w:style>
  <w:style w:type="character" w:customStyle="1" w:styleId="CommentTextChar">
    <w:name w:val="Comment Text Char"/>
    <w:basedOn w:val="DefaultParagraphFont"/>
    <w:link w:val="CommentText"/>
    <w:uiPriority w:val="99"/>
    <w:semiHidden/>
    <w:rsid w:val="0041515E"/>
  </w:style>
  <w:style w:type="paragraph" w:styleId="CommentSubject">
    <w:name w:val="annotation subject"/>
    <w:basedOn w:val="CommentText"/>
    <w:next w:val="CommentText"/>
    <w:link w:val="CommentSubjectChar"/>
    <w:uiPriority w:val="99"/>
    <w:semiHidden/>
    <w:unhideWhenUsed/>
    <w:rsid w:val="0041515E"/>
    <w:rPr>
      <w:b/>
      <w:bCs/>
    </w:rPr>
  </w:style>
  <w:style w:type="character" w:customStyle="1" w:styleId="CommentSubjectChar">
    <w:name w:val="Comment Subject Char"/>
    <w:link w:val="CommentSubject"/>
    <w:uiPriority w:val="99"/>
    <w:semiHidden/>
    <w:rsid w:val="0041515E"/>
    <w:rPr>
      <w:b/>
      <w:bCs/>
    </w:rPr>
  </w:style>
  <w:style w:type="character" w:styleId="Hyperlink">
    <w:name w:val="Hyperlink"/>
    <w:uiPriority w:val="99"/>
    <w:unhideWhenUsed/>
    <w:rsid w:val="00216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ublicguardian-scotlan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g@scotcourts.gov.uk" TargetMode="External"/><Relationship Id="rId4" Type="http://schemas.openxmlformats.org/officeDocument/2006/relationships/settings" Target="settings.xml"/><Relationship Id="rId9" Type="http://schemas.openxmlformats.org/officeDocument/2006/relationships/image" Target="http://myscs/library/Support/Templates/Crests/Office%20of%20the%20Public%20Guardian.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Scottish Court Service</Company>
  <LinksUpToDate>false</LinksUpToDate>
  <CharactersWithSpaces>4800</CharactersWithSpaces>
  <SharedDoc>false</SharedDoc>
  <HLinks>
    <vt:vector size="18" baseType="variant">
      <vt:variant>
        <vt:i4>2555952</vt:i4>
      </vt:variant>
      <vt:variant>
        <vt:i4>3</vt:i4>
      </vt:variant>
      <vt:variant>
        <vt:i4>0</vt:i4>
      </vt:variant>
      <vt:variant>
        <vt:i4>5</vt:i4>
      </vt:variant>
      <vt:variant>
        <vt:lpwstr>http://www.publicguardian-scotland.gov.uk/</vt:lpwstr>
      </vt:variant>
      <vt:variant>
        <vt:lpwstr/>
      </vt:variant>
      <vt:variant>
        <vt:i4>1048679</vt:i4>
      </vt:variant>
      <vt:variant>
        <vt:i4>0</vt:i4>
      </vt:variant>
      <vt:variant>
        <vt:i4>0</vt:i4>
      </vt:variant>
      <vt:variant>
        <vt:i4>5</vt:i4>
      </vt:variant>
      <vt:variant>
        <vt:lpwstr>mailto:opg@scotcourts.gov.uk</vt:lpwstr>
      </vt:variant>
      <vt:variant>
        <vt:lpwstr/>
      </vt:variant>
      <vt:variant>
        <vt:i4>3407983</vt:i4>
      </vt:variant>
      <vt:variant>
        <vt:i4>-1</vt:i4>
      </vt:variant>
      <vt:variant>
        <vt:i4>1028</vt:i4>
      </vt:variant>
      <vt:variant>
        <vt:i4>1</vt:i4>
      </vt:variant>
      <vt:variant>
        <vt:lpwstr>http://myscs/library/Support/Templates/Crests/Office%20of%20the%20Public%20Guardian.gif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lfeeney</dc:creator>
  <cp:lastModifiedBy>Sgardner</cp:lastModifiedBy>
  <cp:revision>3</cp:revision>
  <cp:lastPrinted>2015-06-11T09:11:00Z</cp:lastPrinted>
  <dcterms:created xsi:type="dcterms:W3CDTF">2017-01-17T12:54:00Z</dcterms:created>
  <dcterms:modified xsi:type="dcterms:W3CDTF">2017-01-17T12:54:00Z</dcterms:modified>
</cp:coreProperties>
</file>